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F35C5" w14:textId="3744A5E4" w:rsidR="002177BF" w:rsidRPr="00327997" w:rsidRDefault="002177BF" w:rsidP="002177BF">
      <w:pPr>
        <w:pStyle w:val="3GPPHeader"/>
        <w:rPr>
          <w:highlight w:val="yellow"/>
        </w:rPr>
      </w:pPr>
      <w:r w:rsidRPr="00327997">
        <w:t>3GPP TSG-RAN WG1</w:t>
      </w:r>
      <w:r>
        <w:t xml:space="preserve"> #8</w:t>
      </w:r>
      <w:r w:rsidR="00320FBD">
        <w:t>9</w:t>
      </w:r>
      <w:r w:rsidRPr="00327997">
        <w:tab/>
      </w:r>
      <w:r w:rsidR="002A5CFA" w:rsidRPr="002A5CFA">
        <w:t>R1-1708674</w:t>
      </w:r>
    </w:p>
    <w:p w14:paraId="548E484F" w14:textId="77777777" w:rsidR="00045FE0" w:rsidRDefault="00045FE0" w:rsidP="00045FE0">
      <w:pPr>
        <w:pStyle w:val="3GPPHeader"/>
      </w:pPr>
      <w:r>
        <w:t>Hangzhou, China</w:t>
      </w:r>
      <w:r w:rsidRPr="009C6832">
        <w:t xml:space="preserve">, </w:t>
      </w:r>
      <w:r>
        <w:t>15</w:t>
      </w:r>
      <w:r w:rsidRPr="00356A14">
        <w:rPr>
          <w:vertAlign w:val="superscript"/>
        </w:rPr>
        <w:t>th</w:t>
      </w:r>
      <w:r>
        <w:t xml:space="preserve"> </w:t>
      </w:r>
      <w:r w:rsidRPr="009C6832">
        <w:t xml:space="preserve">– </w:t>
      </w:r>
      <w:r>
        <w:t>19</w:t>
      </w:r>
      <w:r w:rsidRPr="00356A14">
        <w:rPr>
          <w:vertAlign w:val="superscript"/>
        </w:rPr>
        <w:t>th</w:t>
      </w:r>
      <w:r>
        <w:t xml:space="preserve"> May</w:t>
      </w:r>
      <w:r w:rsidRPr="009C6832">
        <w:t>, 20</w:t>
      </w:r>
      <w:r>
        <w:t>17</w:t>
      </w:r>
    </w:p>
    <w:p w14:paraId="05F8CE1C" w14:textId="77777777" w:rsidR="00E90E49" w:rsidRPr="00CE0424" w:rsidRDefault="00E90E49" w:rsidP="00357380">
      <w:pPr>
        <w:pStyle w:val="3GPPHeader"/>
      </w:pPr>
    </w:p>
    <w:p w14:paraId="3507CDDB" w14:textId="77777777" w:rsidR="00E90E49" w:rsidRPr="00327997" w:rsidRDefault="003D3C45" w:rsidP="00327997">
      <w:pPr>
        <w:pStyle w:val="3GPPHeader"/>
      </w:pPr>
      <w:r w:rsidRPr="00327997">
        <w:t>Source:</w:t>
      </w:r>
      <w:r w:rsidR="00E90E49" w:rsidRPr="00327997">
        <w:tab/>
      </w:r>
      <w:r w:rsidR="00F64C2B" w:rsidRPr="00327997">
        <w:t>Ericsson</w:t>
      </w:r>
    </w:p>
    <w:p w14:paraId="0771218E" w14:textId="21A96864" w:rsidR="00E90E49" w:rsidRPr="00327997" w:rsidRDefault="003D3C45" w:rsidP="00327997">
      <w:pPr>
        <w:pStyle w:val="3GPPHeader"/>
      </w:pPr>
      <w:r w:rsidRPr="00327997">
        <w:t>Title:</w:t>
      </w:r>
      <w:r w:rsidR="00E90E49" w:rsidRPr="00327997">
        <w:tab/>
      </w:r>
      <w:r w:rsidR="006E27FE">
        <w:t>UL multi</w:t>
      </w:r>
      <w:r w:rsidR="003E4112">
        <w:t>-</w:t>
      </w:r>
      <w:r w:rsidR="006E27FE">
        <w:t>panel transmission</w:t>
      </w:r>
    </w:p>
    <w:p w14:paraId="1A20F3A5" w14:textId="7B169B64" w:rsidR="00952A24" w:rsidRPr="00164BA1" w:rsidRDefault="00952A24" w:rsidP="00327997">
      <w:pPr>
        <w:pStyle w:val="3GPPHeader"/>
        <w:rPr>
          <w:lang w:val="en-US"/>
        </w:rPr>
      </w:pPr>
      <w:r w:rsidRPr="00164BA1">
        <w:rPr>
          <w:lang w:val="en-US"/>
        </w:rPr>
        <w:t>Agenda Item:</w:t>
      </w:r>
      <w:r w:rsidRPr="00164BA1">
        <w:rPr>
          <w:lang w:val="en-US"/>
        </w:rPr>
        <w:tab/>
      </w:r>
      <w:r w:rsidR="00B62B2A" w:rsidRPr="00164BA1">
        <w:rPr>
          <w:lang w:val="en-US"/>
        </w:rPr>
        <w:t>7.1.2.1.7</w:t>
      </w:r>
    </w:p>
    <w:p w14:paraId="7D2FB71C" w14:textId="77777777" w:rsidR="00E64F97" w:rsidRPr="00E64F97" w:rsidRDefault="00E90E49" w:rsidP="00084BD4">
      <w:pPr>
        <w:pStyle w:val="3GPPHeader"/>
      </w:pPr>
      <w:r w:rsidRPr="00327997">
        <w:t>Document for:</w:t>
      </w:r>
      <w:r w:rsidRPr="00327997">
        <w:tab/>
      </w:r>
      <w:r w:rsidR="00A15745">
        <w:t>Discussion and</w:t>
      </w:r>
      <w:r w:rsidR="00952A24" w:rsidRPr="009C6832">
        <w:t xml:space="preserve"> </w:t>
      </w:r>
      <w:r w:rsidRPr="009C6832">
        <w:t>Decision</w:t>
      </w:r>
    </w:p>
    <w:p w14:paraId="2A90B9E4" w14:textId="77777777" w:rsidR="00E90E49" w:rsidRPr="00CE0424" w:rsidRDefault="007F75D5" w:rsidP="00CE0424">
      <w:pPr>
        <w:pStyle w:val="Heading1"/>
      </w:pPr>
      <w:r>
        <w:t>Introduction</w:t>
      </w:r>
    </w:p>
    <w:p w14:paraId="0D38181A" w14:textId="14530F1B" w:rsidR="00BF7642" w:rsidRDefault="00BD7C86" w:rsidP="00BF7642">
      <w:pPr>
        <w:pStyle w:val="BodyText"/>
      </w:pPr>
      <w:r>
        <w:t>Uplink</w:t>
      </w:r>
      <w:r w:rsidR="00BB42D1">
        <w:t xml:space="preserve"> multi-panel </w:t>
      </w:r>
      <w:r w:rsidR="00A032A4">
        <w:t xml:space="preserve">operation </w:t>
      </w:r>
      <w:r w:rsidR="00BB42D1">
        <w:t xml:space="preserve">has been studied for some time, as can be seen from the agreements below.  </w:t>
      </w:r>
      <w:r w:rsidR="00A032A4">
        <w:t>Two of the p</w:t>
      </w:r>
      <w:r w:rsidR="00E11B46">
        <w:t>rincipal</w:t>
      </w:r>
      <w:r w:rsidR="00BB42D1">
        <w:t xml:space="preserve"> </w:t>
      </w:r>
      <w:r w:rsidR="00E11B46">
        <w:t xml:space="preserve">considerations </w:t>
      </w:r>
      <w:r>
        <w:t xml:space="preserve">are </w:t>
      </w:r>
      <w:r w:rsidR="00BB42D1">
        <w:t>the use of coherent or non-coherent transmission across panels.</w:t>
      </w:r>
      <w:r w:rsidR="00A032A4">
        <w:t xml:space="preserve">  Therefore, i</w:t>
      </w:r>
      <w:r w:rsidR="00A032A4" w:rsidRPr="007E4357">
        <w:t>n this contribution, we consider the potential of coherent and non-coherent inter-panel transmission.  Aspects such as PA power combining, effects of differently boresighted panels, and the relative gains between cohe</w:t>
      </w:r>
      <w:r w:rsidR="003F2E2D">
        <w:t>rent and non-coherent combining are discussed.</w:t>
      </w:r>
    </w:p>
    <w:p w14:paraId="0E5B18F5" w14:textId="276C9E23" w:rsidR="00E3707D" w:rsidRPr="00626376" w:rsidRDefault="00E3707D" w:rsidP="00E3707D">
      <w:pPr>
        <w:rPr>
          <w:rFonts w:eastAsia="MS Mincho"/>
          <w:b/>
          <w:u w:val="single"/>
          <w:lang w:eastAsia="ja-JP"/>
        </w:rPr>
      </w:pPr>
      <w:r w:rsidRPr="005A1C8A">
        <w:rPr>
          <w:rFonts w:eastAsia="MS Mincho" w:hint="eastAsia"/>
          <w:b/>
          <w:highlight w:val="green"/>
          <w:u w:val="single"/>
          <w:lang w:eastAsia="ja-JP"/>
        </w:rPr>
        <w:t>Agreements:</w:t>
      </w:r>
      <w:r>
        <w:rPr>
          <w:rFonts w:eastAsia="MS Mincho"/>
          <w:b/>
          <w:u w:val="single"/>
          <w:lang w:eastAsia="ja-JP"/>
        </w:rPr>
        <w:t>(</w:t>
      </w:r>
      <w:r w:rsidR="00BB42D1">
        <w:rPr>
          <w:rFonts w:eastAsia="MS Mincho"/>
          <w:b/>
          <w:u w:val="single"/>
          <w:lang w:eastAsia="ja-JP"/>
        </w:rPr>
        <w:t>RAN1#</w:t>
      </w:r>
      <w:r>
        <w:rPr>
          <w:rFonts w:eastAsia="MS Mincho"/>
          <w:b/>
          <w:u w:val="single"/>
          <w:lang w:eastAsia="ja-JP"/>
        </w:rPr>
        <w:t>86b)</w:t>
      </w:r>
    </w:p>
    <w:p w14:paraId="57D933DD" w14:textId="77777777" w:rsidR="00E3707D" w:rsidRPr="00626376" w:rsidRDefault="00E3707D" w:rsidP="00E3707D">
      <w:pPr>
        <w:numPr>
          <w:ilvl w:val="0"/>
          <w:numId w:val="37"/>
        </w:numPr>
        <w:overflowPunct/>
        <w:autoSpaceDE/>
        <w:autoSpaceDN/>
        <w:adjustRightInd/>
        <w:spacing w:after="0"/>
        <w:jc w:val="left"/>
        <w:textAlignment w:val="auto"/>
        <w:rPr>
          <w:rFonts w:eastAsia="MS Mincho"/>
          <w:lang w:val="en-US" w:eastAsia="ja-JP"/>
        </w:rPr>
      </w:pPr>
      <w:r w:rsidRPr="00626376">
        <w:rPr>
          <w:rFonts w:eastAsia="MS Mincho"/>
          <w:lang w:val="en-US" w:eastAsia="ja-JP"/>
        </w:rPr>
        <w:t>Study at least the following different multi-panel structures at both TRP and UE</w:t>
      </w:r>
    </w:p>
    <w:p w14:paraId="42A77C5A" w14:textId="51773701" w:rsidR="00E3707D" w:rsidRPr="00626376" w:rsidRDefault="00E3707D" w:rsidP="00E3707D">
      <w:pPr>
        <w:numPr>
          <w:ilvl w:val="1"/>
          <w:numId w:val="37"/>
        </w:numPr>
        <w:overflowPunct/>
        <w:autoSpaceDE/>
        <w:autoSpaceDN/>
        <w:adjustRightInd/>
        <w:spacing w:after="0"/>
        <w:jc w:val="left"/>
        <w:textAlignment w:val="auto"/>
        <w:rPr>
          <w:rFonts w:eastAsia="MS Mincho"/>
          <w:lang w:val="en-US" w:eastAsia="ja-JP"/>
        </w:rPr>
      </w:pPr>
      <w:r>
        <w:rPr>
          <w:rFonts w:eastAsia="MS Mincho"/>
          <w:u w:val="single"/>
          <w:lang w:val="en-US" w:eastAsia="ja-JP"/>
        </w:rPr>
        <w:t xml:space="preserve">Uniform </w:t>
      </w:r>
      <w:r w:rsidRPr="00626376">
        <w:rPr>
          <w:rFonts w:eastAsia="MS Mincho"/>
          <w:u w:val="single"/>
          <w:lang w:val="en-US" w:eastAsia="ja-JP"/>
        </w:rPr>
        <w:t xml:space="preserve">array: </w:t>
      </w:r>
      <w:r w:rsidRPr="00626376">
        <w:rPr>
          <w:rFonts w:eastAsia="MS Mincho"/>
          <w:lang w:val="en-US" w:eastAsia="ja-JP"/>
        </w:rPr>
        <w:t>antenna elements with the same polarization from multiple panels are uniformly distributed in horizontal and vertical dimensions respectively (see Fig.1(a)</w:t>
      </w:r>
      <w:r>
        <w:rPr>
          <w:rFonts w:eastAsia="MS Mincho" w:hint="eastAsia"/>
          <w:lang w:val="en-US" w:eastAsia="ja-JP"/>
        </w:rPr>
        <w:t xml:space="preserve"> in </w:t>
      </w:r>
      <w:r w:rsidR="002A5CFA" w:rsidRPr="00164BA1">
        <w:rPr>
          <w:rFonts w:eastAsia="MS Mincho"/>
        </w:rPr>
        <w:t>R1-1610893</w:t>
      </w:r>
      <w:r>
        <w:rPr>
          <w:rFonts w:eastAsia="MS Mincho" w:hint="eastAsia"/>
          <w:lang w:val="en-US" w:eastAsia="ja-JP"/>
        </w:rPr>
        <w:t xml:space="preserve"> as an example</w:t>
      </w:r>
      <w:r w:rsidRPr="00626376">
        <w:rPr>
          <w:rFonts w:eastAsia="MS Mincho"/>
          <w:lang w:val="en-US" w:eastAsia="ja-JP"/>
        </w:rPr>
        <w:t>)</w:t>
      </w:r>
    </w:p>
    <w:p w14:paraId="2E5A6515" w14:textId="6586040B" w:rsidR="00E3707D" w:rsidRPr="00626376" w:rsidRDefault="00E3707D" w:rsidP="00E3707D">
      <w:pPr>
        <w:numPr>
          <w:ilvl w:val="1"/>
          <w:numId w:val="37"/>
        </w:numPr>
        <w:overflowPunct/>
        <w:autoSpaceDE/>
        <w:autoSpaceDN/>
        <w:adjustRightInd/>
        <w:spacing w:after="0"/>
        <w:jc w:val="left"/>
        <w:textAlignment w:val="auto"/>
        <w:rPr>
          <w:rFonts w:eastAsia="MS Mincho"/>
          <w:lang w:val="en-US" w:eastAsia="ja-JP"/>
        </w:rPr>
      </w:pPr>
      <w:r>
        <w:rPr>
          <w:rFonts w:eastAsia="MS Mincho"/>
          <w:u w:val="single"/>
          <w:lang w:val="en-US" w:eastAsia="ja-JP"/>
        </w:rPr>
        <w:t xml:space="preserve">Non-uniform </w:t>
      </w:r>
      <w:r w:rsidRPr="00626376">
        <w:rPr>
          <w:rFonts w:eastAsia="MS Mincho"/>
          <w:u w:val="single"/>
          <w:lang w:val="en-US" w:eastAsia="ja-JP"/>
        </w:rPr>
        <w:t>array:</w:t>
      </w:r>
      <w:r w:rsidRPr="00626376">
        <w:rPr>
          <w:rFonts w:eastAsia="MS Mincho"/>
          <w:lang w:val="en-US" w:eastAsia="ja-JP"/>
        </w:rPr>
        <w:t xml:space="preserve"> antenna elements with same polarization from multiple panels are not uniformly distributed in horizontal or vertical dimension (see Fig.1(b)</w:t>
      </w:r>
      <w:r>
        <w:rPr>
          <w:rFonts w:eastAsia="MS Mincho" w:hint="eastAsia"/>
          <w:lang w:val="en-US" w:eastAsia="ja-JP"/>
        </w:rPr>
        <w:t xml:space="preserve"> in </w:t>
      </w:r>
      <w:r w:rsidR="002A5CFA" w:rsidRPr="00164BA1">
        <w:rPr>
          <w:rFonts w:eastAsia="MS Mincho"/>
        </w:rPr>
        <w:t>R1-1610893</w:t>
      </w:r>
      <w:r>
        <w:rPr>
          <w:rFonts w:eastAsia="MS Mincho" w:hint="eastAsia"/>
          <w:lang w:val="en-US" w:eastAsia="ja-JP"/>
        </w:rPr>
        <w:t xml:space="preserve"> as an example</w:t>
      </w:r>
      <w:r w:rsidRPr="00626376">
        <w:rPr>
          <w:rFonts w:eastAsia="MS Mincho"/>
          <w:lang w:val="en-US" w:eastAsia="ja-JP"/>
        </w:rPr>
        <w:t>)</w:t>
      </w:r>
    </w:p>
    <w:p w14:paraId="5CE4AF0B" w14:textId="77777777" w:rsidR="00E3707D" w:rsidRPr="00626376" w:rsidRDefault="00E3707D" w:rsidP="00E3707D">
      <w:pPr>
        <w:numPr>
          <w:ilvl w:val="0"/>
          <w:numId w:val="37"/>
        </w:numPr>
        <w:overflowPunct/>
        <w:autoSpaceDE/>
        <w:autoSpaceDN/>
        <w:adjustRightInd/>
        <w:spacing w:after="0"/>
        <w:jc w:val="left"/>
        <w:textAlignment w:val="auto"/>
        <w:rPr>
          <w:rFonts w:eastAsia="MS Mincho"/>
          <w:lang w:val="en-US" w:eastAsia="ja-JP"/>
        </w:rPr>
      </w:pPr>
      <w:r w:rsidRPr="00626376">
        <w:rPr>
          <w:rFonts w:eastAsia="MS Mincho"/>
          <w:lang w:eastAsia="ja-JP"/>
        </w:rPr>
        <w:t>Study the coherent</w:t>
      </w:r>
      <w:r>
        <w:rPr>
          <w:rFonts w:eastAsia="MS Mincho" w:hint="eastAsia"/>
          <w:lang w:eastAsia="ja-JP"/>
        </w:rPr>
        <w:t>/non-coherent</w:t>
      </w:r>
      <w:r w:rsidRPr="00626376">
        <w:rPr>
          <w:rFonts w:eastAsia="MS Mincho"/>
          <w:lang w:eastAsia="ja-JP"/>
        </w:rPr>
        <w:t xml:space="preserve"> MIMO transmission based on </w:t>
      </w:r>
      <w:r>
        <w:rPr>
          <w:rFonts w:eastAsia="MS Mincho" w:hint="eastAsia"/>
          <w:lang w:eastAsia="ja-JP"/>
        </w:rPr>
        <w:t>uniform/</w:t>
      </w:r>
      <w:r w:rsidRPr="00626376">
        <w:rPr>
          <w:rFonts w:eastAsia="MS Mincho"/>
          <w:lang w:eastAsia="ja-JP"/>
        </w:rPr>
        <w:t xml:space="preserve">non-uniform </w:t>
      </w:r>
      <w:r>
        <w:rPr>
          <w:rFonts w:eastAsia="MS Mincho" w:hint="eastAsia"/>
          <w:lang w:eastAsia="ja-JP"/>
        </w:rPr>
        <w:t>array</w:t>
      </w:r>
      <w:r w:rsidRPr="00626376">
        <w:rPr>
          <w:rFonts w:eastAsia="MS Mincho"/>
          <w:lang w:eastAsia="ja-JP"/>
        </w:rPr>
        <w:t xml:space="preserve"> structure at TRP or UE</w:t>
      </w:r>
    </w:p>
    <w:p w14:paraId="4C1C1FB9" w14:textId="662DC515" w:rsidR="00E3707D" w:rsidRPr="00164BA1" w:rsidRDefault="00E3707D" w:rsidP="00E3707D">
      <w:pPr>
        <w:numPr>
          <w:ilvl w:val="1"/>
          <w:numId w:val="37"/>
        </w:numPr>
        <w:overflowPunct/>
        <w:autoSpaceDE/>
        <w:autoSpaceDN/>
        <w:adjustRightInd/>
        <w:spacing w:after="0"/>
        <w:jc w:val="left"/>
        <w:textAlignment w:val="auto"/>
        <w:rPr>
          <w:rFonts w:eastAsia="MS Mincho"/>
          <w:lang w:val="en-US" w:eastAsia="ja-JP"/>
        </w:rPr>
      </w:pPr>
      <w:r>
        <w:rPr>
          <w:rFonts w:eastAsia="MS Mincho"/>
          <w:lang w:eastAsia="ja-JP"/>
        </w:rPr>
        <w:t>E</w:t>
      </w:r>
      <w:r>
        <w:rPr>
          <w:rFonts w:eastAsia="MS Mincho" w:hint="eastAsia"/>
          <w:lang w:eastAsia="ja-JP"/>
        </w:rPr>
        <w:t xml:space="preserve">.g., </w:t>
      </w:r>
      <w:r w:rsidRPr="00626376">
        <w:rPr>
          <w:rFonts w:eastAsia="MS Mincho"/>
          <w:lang w:eastAsia="ja-JP"/>
        </w:rPr>
        <w:t>Codebook design</w:t>
      </w:r>
      <w:r>
        <w:rPr>
          <w:rFonts w:eastAsia="MS Mincho" w:hint="eastAsia"/>
          <w:lang w:eastAsia="ja-JP"/>
        </w:rPr>
        <w:t>, calibration accuracy, interference measurement, advanced receiver design, interference hypothesis</w:t>
      </w:r>
    </w:p>
    <w:p w14:paraId="04EE9FC2" w14:textId="77777777" w:rsidR="00BB42D1" w:rsidRPr="00626376" w:rsidRDefault="00BB42D1" w:rsidP="00164BA1">
      <w:pPr>
        <w:overflowPunct/>
        <w:autoSpaceDE/>
        <w:autoSpaceDN/>
        <w:adjustRightInd/>
        <w:spacing w:after="0"/>
        <w:jc w:val="left"/>
        <w:textAlignment w:val="auto"/>
        <w:rPr>
          <w:rFonts w:eastAsia="MS Mincho"/>
          <w:lang w:val="en-US" w:eastAsia="ja-JP"/>
        </w:rPr>
      </w:pPr>
    </w:p>
    <w:p w14:paraId="076DC52E" w14:textId="6354D790" w:rsidR="00E3707D" w:rsidRPr="00DE063A" w:rsidRDefault="00E3707D" w:rsidP="00E3707D">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r w:rsidR="00BB42D1">
        <w:rPr>
          <w:rFonts w:eastAsia="MS Mincho"/>
          <w:b/>
          <w:iCs/>
          <w:u w:val="single"/>
          <w:lang w:eastAsia="ja-JP"/>
        </w:rPr>
        <w:t>(RAN1#87)</w:t>
      </w:r>
    </w:p>
    <w:p w14:paraId="193232A1" w14:textId="77777777" w:rsidR="00E3707D" w:rsidRPr="00DE063A" w:rsidRDefault="00E3707D" w:rsidP="00E3707D">
      <w:pPr>
        <w:numPr>
          <w:ilvl w:val="0"/>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downlink transmission</w:t>
      </w:r>
    </w:p>
    <w:p w14:paraId="35CD17D1"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Should consider both uniform and non-uniform array </w:t>
      </w:r>
    </w:p>
    <w:p w14:paraId="181771CA"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both coherent and non-coherent MIMO transmission for multi-panel antenna array</w:t>
      </w:r>
    </w:p>
    <w:p w14:paraId="56750316"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62043F61"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FFS QCL related aspects</w:t>
      </w:r>
    </w:p>
    <w:p w14:paraId="580044A7" w14:textId="77777777" w:rsidR="00E3707D" w:rsidRPr="00DE063A" w:rsidRDefault="00E3707D" w:rsidP="00E3707D">
      <w:pPr>
        <w:numPr>
          <w:ilvl w:val="0"/>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uplink transmission</w:t>
      </w:r>
    </w:p>
    <w:p w14:paraId="1D56A166"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way(s) to improve both reliability and capacity, e.g., non-coherent transmission, etc.</w:t>
      </w:r>
    </w:p>
    <w:p w14:paraId="1F7A7AA8"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practical issues including multiple timing advances, power control, beam procedure with/without the help of existing well paired beams and so on</w:t>
      </w:r>
    </w:p>
    <w:p w14:paraId="38C04624"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0FBED5B8" w14:textId="77777777" w:rsidR="00E3707D" w:rsidRDefault="00E3707D" w:rsidP="00BF7642">
      <w:pPr>
        <w:pStyle w:val="BodyText"/>
      </w:pPr>
    </w:p>
    <w:p w14:paraId="4BB8991A" w14:textId="77777777" w:rsidR="00016B61" w:rsidRDefault="000F5978" w:rsidP="00971BB3">
      <w:pPr>
        <w:pStyle w:val="Heading1"/>
      </w:pPr>
      <w:bookmarkStart w:id="0" w:name="_Ref178064866"/>
      <w:r>
        <w:t>Discussion</w:t>
      </w:r>
    </w:p>
    <w:p w14:paraId="03D64AFF" w14:textId="77777777" w:rsidR="00F301BB" w:rsidRPr="00F301BB" w:rsidRDefault="00F301BB" w:rsidP="00F301BB">
      <w:pPr>
        <w:pStyle w:val="Heading2"/>
      </w:pPr>
      <w:r>
        <w:t>Coherent or non-coherent transmission</w:t>
      </w:r>
      <w:r w:rsidR="00844CE6">
        <w:t xml:space="preserve"> across panels</w:t>
      </w:r>
    </w:p>
    <w:p w14:paraId="4F07D63A" w14:textId="21F68952" w:rsidR="00AD4AE7" w:rsidRDefault="003E4112" w:rsidP="000F5978">
      <w:r>
        <w:t>Different type</w:t>
      </w:r>
      <w:r w:rsidR="0076109D">
        <w:t>s</w:t>
      </w:r>
      <w:r>
        <w:t xml:space="preserve"> of antenna configurations at the UE ha</w:t>
      </w:r>
      <w:r w:rsidR="0076109D">
        <w:t>ve</w:t>
      </w:r>
      <w:r>
        <w:t xml:space="preserve"> been agreed </w:t>
      </w:r>
      <w:r w:rsidR="0076109D">
        <w:t xml:space="preserve">for NR evaluations </w:t>
      </w:r>
      <w:r>
        <w:t xml:space="preserve">and can be found in </w:t>
      </w:r>
      <w:r w:rsidR="00D63910">
        <w:t>[1]</w:t>
      </w:r>
      <w:r>
        <w:t xml:space="preserve">, table </w:t>
      </w:r>
      <w:r w:rsidR="00902119">
        <w:t>A.2.1-4</w:t>
      </w:r>
      <w:r>
        <w:t xml:space="preserve">. </w:t>
      </w:r>
      <w:r w:rsidR="00AD4AE7">
        <w:t>For carri</w:t>
      </w:r>
      <w:r w:rsidR="00320FBD">
        <w:t>er frequencies below 6GHz</w:t>
      </w:r>
      <w:r w:rsidR="00D63910">
        <w:t>,</w:t>
      </w:r>
      <w:r w:rsidR="00902119">
        <w:t xml:space="preserve"> ULA a</w:t>
      </w:r>
      <w:r w:rsidR="00320FBD">
        <w:t>ntenna configuration</w:t>
      </w:r>
      <w:r w:rsidR="00D63910">
        <w:t>s</w:t>
      </w:r>
      <w:r w:rsidR="00320FBD">
        <w:t xml:space="preserve"> comprise a single panel</w:t>
      </w:r>
      <w:r w:rsidR="00902119">
        <w:t xml:space="preserve"> </w:t>
      </w:r>
      <w:r w:rsidR="00320FBD">
        <w:t>of</w:t>
      </w:r>
      <w:r w:rsidR="00AD4AE7">
        <w:t xml:space="preserve"> </w:t>
      </w:r>
      <w:r w:rsidR="00320FBD">
        <w:t xml:space="preserve">dual polarized elements with </w:t>
      </w:r>
      <w:r w:rsidR="00AD4AE7">
        <w:t>omnidirectional b</w:t>
      </w:r>
      <w:r w:rsidR="00902119">
        <w:t>e</w:t>
      </w:r>
      <w:r w:rsidR="00320FBD">
        <w:t>am patterns</w:t>
      </w:r>
      <w:r w:rsidR="00AD4AE7">
        <w:t>. F</w:t>
      </w:r>
      <w:r>
        <w:t xml:space="preserve">or carrier frequency above 6GHz, </w:t>
      </w:r>
      <w:r w:rsidR="00AD4AE7">
        <w:t xml:space="preserve">the configurations include </w:t>
      </w:r>
      <w:r>
        <w:t>2 and 4 panels</w:t>
      </w:r>
      <w:r w:rsidR="00AD4AE7">
        <w:t>,</w:t>
      </w:r>
      <w:r>
        <w:t xml:space="preserve"> pointing in different directions to have quasi-omnidirectional coverage</w:t>
      </w:r>
      <w:r w:rsidR="00AD4AE7">
        <w:t xml:space="preserve"> and e</w:t>
      </w:r>
      <w:r>
        <w:t>ach individual panel is either single or dual polarized</w:t>
      </w:r>
      <w:r w:rsidR="00AD4AE7">
        <w:t>.</w:t>
      </w:r>
      <w:r w:rsidR="00844CE6">
        <w:t xml:space="preserve"> </w:t>
      </w:r>
      <w:r w:rsidR="00AD4AE7">
        <w:t>Element patterns have 90</w:t>
      </w:r>
      <w:r w:rsidR="00D63910">
        <w:t>°</w:t>
      </w:r>
      <w:r w:rsidR="00AD4AE7">
        <w:t xml:space="preserve"> half power beamwidth both in elevation and azimuth.</w:t>
      </w:r>
    </w:p>
    <w:p w14:paraId="7AB254BF" w14:textId="60DE3421" w:rsidR="00844CE6" w:rsidRDefault="00320FBD" w:rsidP="000F5978">
      <w:r>
        <w:lastRenderedPageBreak/>
        <w:t>While i</w:t>
      </w:r>
      <w:r w:rsidR="00844CE6">
        <w:t xml:space="preserve">t’s </w:t>
      </w:r>
      <w:r w:rsidR="00D63910">
        <w:t xml:space="preserve">expected </w:t>
      </w:r>
      <w:r w:rsidR="00844CE6">
        <w:t xml:space="preserve">that NR </w:t>
      </w:r>
      <w:r w:rsidR="00D63910">
        <w:t xml:space="preserve">will </w:t>
      </w:r>
      <w:r w:rsidR="00844CE6">
        <w:t>support coher</w:t>
      </w:r>
      <w:r w:rsidR="001D61B5">
        <w:t>ent transmission below 6GHz</w:t>
      </w:r>
      <w:r w:rsidR="00D63910">
        <w:t>,</w:t>
      </w:r>
      <w:r w:rsidR="001D61B5">
        <w:t xml:space="preserve"> there has been </w:t>
      </w:r>
      <w:r w:rsidR="00844CE6">
        <w:t xml:space="preserve">discussion </w:t>
      </w:r>
      <w:r w:rsidR="001D61B5">
        <w:t xml:space="preserve">whether coherent transmission </w:t>
      </w:r>
      <w:r w:rsidR="00D63910">
        <w:t xml:space="preserve">should </w:t>
      </w:r>
      <w:r w:rsidR="001D61B5">
        <w:t xml:space="preserve">be supported across panels above 6GHz. This is also the </w:t>
      </w:r>
      <w:r w:rsidR="00D63910">
        <w:t xml:space="preserve">focus </w:t>
      </w:r>
      <w:r w:rsidR="001D61B5">
        <w:t>of this contribution.</w:t>
      </w:r>
    </w:p>
    <w:p w14:paraId="12233166" w14:textId="7E326C12" w:rsidR="00484051" w:rsidRDefault="00AD4AE7" w:rsidP="000F5978">
      <w:r>
        <w:t xml:space="preserve">In case panel orientations differ </w:t>
      </w:r>
      <w:r w:rsidR="00D63910">
        <w:t xml:space="preserve">by </w:t>
      </w:r>
      <w:r>
        <w:t>90</w:t>
      </w:r>
      <w:r w:rsidR="00D63910">
        <w:t>°,</w:t>
      </w:r>
      <w:r>
        <w:t xml:space="preserve"> the crossover gain (</w:t>
      </w:r>
      <w:r w:rsidR="00D63910">
        <w:t xml:space="preserve">the </w:t>
      </w:r>
      <w:r>
        <w:t>gain at 45</w:t>
      </w:r>
      <w:r w:rsidR="00D63910">
        <w:t>°</w:t>
      </w:r>
      <w:r>
        <w:t xml:space="preserve"> off boresight) becomes -3dB compared to the gain in </w:t>
      </w:r>
      <w:r w:rsidR="00D63910">
        <w:t xml:space="preserve">the </w:t>
      </w:r>
      <w:r>
        <w:t>boresight direction.</w:t>
      </w:r>
      <w:r w:rsidR="00F05DDE">
        <w:t xml:space="preserve"> Further, the gain difference is small</w:t>
      </w:r>
      <w:r w:rsidR="006D71A4">
        <w:t xml:space="preserve"> between adjacent panels</w:t>
      </w:r>
      <w:r w:rsidR="00F05DDE">
        <w:t xml:space="preserve"> in a significantly wide sector around the crossover direction which indicates that there is a potential for substantial gains by performing coherent transmission across panels. </w:t>
      </w:r>
    </w:p>
    <w:p w14:paraId="4DF02B8A" w14:textId="492A8E18" w:rsidR="0052588B" w:rsidRDefault="00F05DDE" w:rsidP="000F5978">
      <w:r>
        <w:t>A simplified analysis</w:t>
      </w:r>
      <w:r w:rsidR="006D71A4">
        <w:t xml:space="preserve"> for a LOS scenario</w:t>
      </w:r>
      <w:r>
        <w:t xml:space="preserve"> has been performed to </w:t>
      </w:r>
      <w:r w:rsidR="002A5CFA">
        <w:t xml:space="preserve">roughly </w:t>
      </w:r>
      <w:r>
        <w:t>assess how large these gains may be</w:t>
      </w:r>
      <w:r w:rsidR="001D61B5">
        <w:t xml:space="preserve"> and the results are </w:t>
      </w:r>
      <w:r w:rsidR="00D63910">
        <w:t>shown below</w:t>
      </w:r>
      <w:r>
        <w:t>. For simplicity</w:t>
      </w:r>
      <w:r w:rsidR="00D63910">
        <w:t>,</w:t>
      </w:r>
      <w:r>
        <w:t xml:space="preserve"> </w:t>
      </w:r>
      <w:r w:rsidR="006D71A4">
        <w:t>t</w:t>
      </w:r>
      <w:r>
        <w:t>he analysis is focused on</w:t>
      </w:r>
      <w:r w:rsidR="001D61B5">
        <w:t xml:space="preserve"> gains in the</w:t>
      </w:r>
      <w:r>
        <w:t xml:space="preserve"> azimuth</w:t>
      </w:r>
      <w:r w:rsidR="001D61B5">
        <w:t xml:space="preserve"> direction</w:t>
      </w:r>
      <w:r>
        <w:t xml:space="preserve"> only. For this </w:t>
      </w:r>
      <w:r w:rsidR="008A1865">
        <w:t>reason,</w:t>
      </w:r>
      <w:r>
        <w:t xml:space="preserve"> </w:t>
      </w:r>
      <w:r w:rsidR="00D63910">
        <w:t>the number of vertical elements</w:t>
      </w:r>
      <w:r>
        <w:t xml:space="preserve"> is set to 1 which does not affect the conclusions regarding potential gains.</w:t>
      </w:r>
      <w:r w:rsidR="00780B9B">
        <w:t xml:space="preserve"> </w:t>
      </w:r>
      <w:r w:rsidR="001D61B5">
        <w:t xml:space="preserve">It is further assumed that the panels </w:t>
      </w:r>
      <w:r w:rsidR="00484051">
        <w:t>have</w:t>
      </w:r>
      <w:r w:rsidR="001D61B5">
        <w:t xml:space="preserve"> analogue</w:t>
      </w:r>
      <w:r w:rsidR="00484051">
        <w:t xml:space="preserve"> distribution networks, one network per polarization and panel,</w:t>
      </w:r>
      <w:r w:rsidR="001D61B5">
        <w:t xml:space="preserve"> and t</w:t>
      </w:r>
      <w:r w:rsidR="00780B9B">
        <w:t xml:space="preserve">he </w:t>
      </w:r>
      <w:r w:rsidR="0052588B">
        <w:t xml:space="preserve">ports </w:t>
      </w:r>
      <w:r w:rsidR="00780B9B">
        <w:t>over which the</w:t>
      </w:r>
      <w:r w:rsidR="0052588B">
        <w:t xml:space="preserve"> transmission takes place are </w:t>
      </w:r>
      <w:r w:rsidR="001D61B5">
        <w:t xml:space="preserve">virtualized via </w:t>
      </w:r>
      <w:r w:rsidR="00D63910">
        <w:t xml:space="preserve">a </w:t>
      </w:r>
      <w:r w:rsidR="001D61B5">
        <w:t>beam management</w:t>
      </w:r>
      <w:r w:rsidR="00484051">
        <w:t xml:space="preserve"> process</w:t>
      </w:r>
      <w:r w:rsidR="001D61B5">
        <w:t>. In a</w:t>
      </w:r>
      <w:r w:rsidR="00D63910">
        <w:t>n</w:t>
      </w:r>
      <w:r w:rsidR="001D61B5">
        <w:t xml:space="preserve"> LOS scenario</w:t>
      </w:r>
      <w:r w:rsidR="00D63910">
        <w:t>,</w:t>
      </w:r>
      <w:r w:rsidR="001D61B5">
        <w:t xml:space="preserve"> the virtualization for the two polarizations</w:t>
      </w:r>
      <w:r w:rsidR="00484051">
        <w:t xml:space="preserve"> per panel</w:t>
      </w:r>
      <w:r w:rsidR="001D61B5">
        <w:t>, if panels are not single polarized, will be the same</w:t>
      </w:r>
      <w:r w:rsidR="00371081">
        <w:t xml:space="preserve"> resulting in the ports to have identical beam patterns. So, the analysis can be thought of as covering </w:t>
      </w:r>
      <w:r w:rsidR="00484051">
        <w:t>two</w:t>
      </w:r>
      <w:r w:rsidR="00371081">
        <w:t xml:space="preserve"> polarizations despite performed for a single polarization. </w:t>
      </w:r>
    </w:p>
    <w:p w14:paraId="55D6D337" w14:textId="21035F22" w:rsidR="001E6DA0" w:rsidRDefault="00F05DDE" w:rsidP="000F5978">
      <w:r>
        <w:t xml:space="preserve">Figure </w:t>
      </w:r>
      <w:r w:rsidR="00C154DB">
        <w:t xml:space="preserve">1 </w:t>
      </w:r>
      <w:r>
        <w:t>show</w:t>
      </w:r>
      <w:r w:rsidR="00307C6D">
        <w:t>s</w:t>
      </w:r>
      <w:r>
        <w:t xml:space="preserve"> the case of 4 panels with 90</w:t>
      </w:r>
      <w:r w:rsidR="00B75903">
        <w:t>°</w:t>
      </w:r>
      <w:r>
        <w:t xml:space="preserve"> difference in </w:t>
      </w:r>
      <w:r w:rsidR="00484051">
        <w:t xml:space="preserve">azimuth </w:t>
      </w:r>
      <w:r>
        <w:t xml:space="preserve">pointing direction and two elements along </w:t>
      </w:r>
      <w:r w:rsidR="00B75903">
        <w:t xml:space="preserve">the </w:t>
      </w:r>
      <w:r>
        <w:t xml:space="preserve">azimuth direction per panel. </w:t>
      </w:r>
      <w:r w:rsidR="001E6DA0">
        <w:t>Six</w:t>
      </w:r>
      <w:r w:rsidR="008A1865">
        <w:t xml:space="preserve"> curves are shown</w:t>
      </w:r>
      <w:r w:rsidR="00B75903">
        <w:t>.</w:t>
      </w:r>
      <w:r w:rsidR="008A1865">
        <w:t xml:space="preserve"> </w:t>
      </w:r>
      <w:r w:rsidR="001E6DA0">
        <w:t>“Coherent+3dB”</w:t>
      </w:r>
      <w:r w:rsidR="00B75903">
        <w:t xml:space="preserve"> is the </w:t>
      </w:r>
      <w:r w:rsidR="001E6DA0">
        <w:t>gain envelope, including both beamforming and 3dB power gain due to use of two P</w:t>
      </w:r>
      <w:r w:rsidR="002A5CFA">
        <w:t>A</w:t>
      </w:r>
      <w:r w:rsidR="001E6DA0">
        <w:t>s</w:t>
      </w:r>
      <w:r w:rsidR="00075FA0">
        <w:t>,</w:t>
      </w:r>
      <w:r w:rsidR="00075FA0" w:rsidRPr="00472722">
        <w:t xml:space="preserve"> </w:t>
      </w:r>
      <w:r w:rsidR="00075FA0">
        <w:t xml:space="preserve">when beamforming </w:t>
      </w:r>
      <w:r w:rsidR="002A5CFA">
        <w:t xml:space="preserve">is </w:t>
      </w:r>
      <w:r w:rsidR="00075FA0">
        <w:t>over beams from two adjacent panels</w:t>
      </w:r>
      <w:r w:rsidR="00B75903">
        <w:t>.</w:t>
      </w:r>
      <w:r w:rsidR="001E6DA0">
        <w:t xml:space="preserve"> “Non-coherent+3dB”</w:t>
      </w:r>
      <w:r w:rsidR="00B75903">
        <w:t xml:space="preserve"> is the</w:t>
      </w:r>
      <w:r w:rsidR="001E6DA0">
        <w:t xml:space="preserve"> gain envelope in case of non-coherent transmission including power gain from two PAs being active</w:t>
      </w:r>
      <w:r w:rsidR="00075FA0">
        <w:t>,</w:t>
      </w:r>
      <w:r w:rsidR="00075FA0" w:rsidRPr="00472722">
        <w:t xml:space="preserve"> </w:t>
      </w:r>
      <w:r w:rsidR="00075FA0">
        <w:t>when beamforming over beams from two adjacent panels.</w:t>
      </w:r>
      <w:r w:rsidR="001E6DA0">
        <w:t xml:space="preserve">  “Coherent”</w:t>
      </w:r>
      <w:r w:rsidR="00B75903">
        <w:t xml:space="preserve"> shows the</w:t>
      </w:r>
      <w:r w:rsidR="001E6DA0">
        <w:t xml:space="preserve"> gain envelope for coherent beamforming</w:t>
      </w:r>
      <w:r w:rsidR="00075FA0">
        <w:t>,</w:t>
      </w:r>
      <w:r w:rsidR="00075FA0" w:rsidRPr="00075FA0">
        <w:t xml:space="preserve"> </w:t>
      </w:r>
      <w:r w:rsidR="00075FA0">
        <w:t>as of above but with no additional output power.</w:t>
      </w:r>
      <w:r w:rsidR="001E6DA0">
        <w:t xml:space="preserve"> “Non-coherent”</w:t>
      </w:r>
      <w:r w:rsidR="00B75903">
        <w:t xml:space="preserve"> represents the</w:t>
      </w:r>
      <w:r w:rsidR="001E6DA0">
        <w:t xml:space="preserve"> gain envelope in case of non-coherent transmission</w:t>
      </w:r>
      <w:r w:rsidR="00075FA0">
        <w:t>,</w:t>
      </w:r>
      <w:r w:rsidR="00075FA0" w:rsidRPr="00075FA0">
        <w:t xml:space="preserve"> </w:t>
      </w:r>
      <w:r w:rsidR="00075FA0">
        <w:t>as of above but with no additional output power.</w:t>
      </w:r>
      <w:r w:rsidR="001E6DA0">
        <w:t xml:space="preserve"> “Panel”</w:t>
      </w:r>
      <w:r w:rsidR="00B75903">
        <w:t xml:space="preserve"> is the</w:t>
      </w:r>
      <w:r w:rsidR="001E6DA0">
        <w:t xml:space="preserve"> gain envelope when beamforming over the N elements (from beam management</w:t>
      </w:r>
      <w:r w:rsidR="00B75903">
        <w:t>.  Finally,</w:t>
      </w:r>
      <w:r w:rsidR="001E6DA0">
        <w:t xml:space="preserve"> </w:t>
      </w:r>
      <w:r w:rsidR="008A1865">
        <w:t>“Element”</w:t>
      </w:r>
      <w:r w:rsidR="00B75903">
        <w:t xml:space="preserve"> is the magnitude of</w:t>
      </w:r>
      <w:r w:rsidR="008A1865">
        <w:t xml:space="preserve"> a si</w:t>
      </w:r>
      <w:r w:rsidR="001E6DA0">
        <w:t>ngle element. For both coherent and non-coherent beamforming</w:t>
      </w:r>
      <w:r w:rsidR="00B75903">
        <w:t>,</w:t>
      </w:r>
      <w:r w:rsidR="001E6DA0">
        <w:t xml:space="preserve"> it is here assumed that power is split equally between the panels which would correspond to a constant modulus codebook. With a non-constant modulus codebook performance will improve. For </w:t>
      </w:r>
      <w:r w:rsidR="000D6C2E">
        <w:t>example,</w:t>
      </w:r>
      <w:r w:rsidR="001E6DA0">
        <w:t xml:space="preserve"> the coherent beamforming </w:t>
      </w:r>
      <w:r w:rsidR="00B75903">
        <w:t xml:space="preserve">gain </w:t>
      </w:r>
      <w:r w:rsidR="001E6DA0">
        <w:t xml:space="preserve">can be made to be better or equal to the </w:t>
      </w:r>
      <w:r w:rsidR="00B75903">
        <w:t xml:space="preserve">gain </w:t>
      </w:r>
      <w:r w:rsidR="001E6DA0">
        <w:t>of a single panel.</w:t>
      </w:r>
    </w:p>
    <w:p w14:paraId="06550F68" w14:textId="2A444E05" w:rsidR="000F5978" w:rsidRDefault="006D71A4" w:rsidP="000F5978">
      <w:r w:rsidRPr="006D71A4">
        <w:rPr>
          <w:noProof/>
          <w:lang w:val="en-US" w:eastAsia="en-US"/>
        </w:rPr>
        <w:t xml:space="preserve"> </w:t>
      </w:r>
      <w:r w:rsidR="00A40362" w:rsidRPr="00A40362">
        <w:rPr>
          <w:noProof/>
          <w:lang w:val="en-US" w:eastAsia="en-US"/>
        </w:rPr>
        <w:t xml:space="preserve"> </w:t>
      </w:r>
      <w:r w:rsidR="00A40362" w:rsidRPr="00A40362">
        <w:rPr>
          <w:noProof/>
          <w:lang w:val="en-US" w:eastAsia="en-US"/>
        </w:rPr>
        <w:drawing>
          <wp:inline distT="0" distB="0" distL="0" distR="0" wp14:anchorId="41632984" wp14:editId="3BF812EF">
            <wp:extent cx="5943600" cy="2209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209800"/>
                    </a:xfrm>
                    <a:prstGeom prst="rect">
                      <a:avLst/>
                    </a:prstGeom>
                  </pic:spPr>
                </pic:pic>
              </a:graphicData>
            </a:graphic>
          </wp:inline>
        </w:drawing>
      </w:r>
    </w:p>
    <w:p w14:paraId="083CC960" w14:textId="75EB2991" w:rsidR="00C154DB" w:rsidRDefault="00C154DB" w:rsidP="00844CE6">
      <w:pPr>
        <w:pStyle w:val="Caption"/>
      </w:pPr>
      <w:bookmarkStart w:id="1" w:name="_Ref481695332"/>
      <w:r>
        <w:t xml:space="preserve">Figure </w:t>
      </w:r>
      <w:r>
        <w:fldChar w:fldCharType="begin"/>
      </w:r>
      <w:r>
        <w:instrText xml:space="preserve"> SEQ Figure \* ARABIC </w:instrText>
      </w:r>
      <w:r>
        <w:fldChar w:fldCharType="separate"/>
      </w:r>
      <w:r w:rsidR="00875297">
        <w:rPr>
          <w:noProof/>
        </w:rPr>
        <w:t>1</w:t>
      </w:r>
      <w:r>
        <w:fldChar w:fldCharType="end"/>
      </w:r>
      <w:bookmarkEnd w:id="1"/>
      <w:r>
        <w:t xml:space="preserve"> Four panel scenario</w:t>
      </w:r>
    </w:p>
    <w:p w14:paraId="4BC9EBBF" w14:textId="77777777" w:rsidR="00AC3DA5" w:rsidRDefault="00AC3DA5" w:rsidP="00AC3DA5">
      <w:r>
        <w:t xml:space="preserve">From </w:t>
      </w:r>
      <w:r>
        <w:fldChar w:fldCharType="begin"/>
      </w:r>
      <w:r>
        <w:instrText xml:space="preserve"> REF _Ref481695332 \h </w:instrText>
      </w:r>
      <w:r>
        <w:fldChar w:fldCharType="separate"/>
      </w:r>
      <w:r>
        <w:t xml:space="preserve">Figure </w:t>
      </w:r>
      <w:r>
        <w:rPr>
          <w:noProof/>
        </w:rPr>
        <w:t>1</w:t>
      </w:r>
      <w:r>
        <w:fldChar w:fldCharType="end"/>
      </w:r>
      <w:r>
        <w:t xml:space="preserve">, we observe that especially in the “cross-over” regions there are interesting performance improvements, for both coherent and non-coherent combining.  </w:t>
      </w:r>
    </w:p>
    <w:p w14:paraId="1C65EBC9" w14:textId="77777777" w:rsidR="00AC3DA5" w:rsidRDefault="00AC3DA5" w:rsidP="00AC3DA5">
      <w:r>
        <w:t>Non-coherent combining can apply for example when “beamforming” is performed over orthogonal polarizations for two adjacent panels. For fixed total output power, non-coherent beamforming is always equal to or worse than a single panel but with additional output power performance can be improved over single panel use.</w:t>
      </w:r>
    </w:p>
    <w:p w14:paraId="0D1338FE" w14:textId="77777777" w:rsidR="00AC3DA5" w:rsidRDefault="00AC3DA5" w:rsidP="00AC3DA5">
      <w:r>
        <w:t xml:space="preserve">There will most likely be a cap on total transmitted power per UE, let us assume 23dBm. Given that the two PAs per panel deliver maximum 20dBm each, 23dBm together, there will be no “3dB power gain” from transmitting over multiple panels since the power per PA then must be reduced. But, possibilities for multi-panel transmission may offer an increased flexibility for some UE implementations, such as lower maximum PA power per transmit chain.   </w:t>
      </w:r>
      <w:r>
        <w:lastRenderedPageBreak/>
        <w:t>Furthermore, some UE implementations may be amenable to inter-panel non-coherent transmission, but not able to support coherent inter-panel transmission.  Also, non-coherent transmission can be useful to provide higher rank or diversity.</w:t>
      </w:r>
    </w:p>
    <w:p w14:paraId="1F060B05" w14:textId="02CCAFC2" w:rsidR="000F69F0" w:rsidRDefault="000F69F0" w:rsidP="000F5978">
      <w:r>
        <w:t xml:space="preserve">Also for the case of two panels, </w:t>
      </w:r>
      <w:r w:rsidR="00C154DB">
        <w:t>Fi</w:t>
      </w:r>
      <w:r>
        <w:t xml:space="preserve">gure </w:t>
      </w:r>
      <w:r w:rsidR="00C154DB">
        <w:t>2</w:t>
      </w:r>
      <w:r>
        <w:t xml:space="preserve">, one can see that the potential gains are like the four-panel case but in a smaller angular </w:t>
      </w:r>
      <w:r w:rsidR="000D6C2E">
        <w:t>region</w:t>
      </w:r>
      <w:r>
        <w:t>. However, the largest gains appear where the single panel gain is low.</w:t>
      </w:r>
    </w:p>
    <w:p w14:paraId="4E65E6D6" w14:textId="2DAD7D0E" w:rsidR="00F05DDE" w:rsidRDefault="00F05DDE" w:rsidP="00F05DDE">
      <w:pPr>
        <w:tabs>
          <w:tab w:val="left" w:pos="1494"/>
        </w:tabs>
      </w:pPr>
      <w:r>
        <w:tab/>
      </w:r>
      <w:r w:rsidR="00A40362" w:rsidRPr="00A40362">
        <w:rPr>
          <w:noProof/>
          <w:lang w:val="en-US" w:eastAsia="en-US"/>
        </w:rPr>
        <w:t xml:space="preserve"> </w:t>
      </w:r>
      <w:r w:rsidR="00A40362" w:rsidRPr="00A40362">
        <w:rPr>
          <w:noProof/>
          <w:lang w:val="en-US" w:eastAsia="en-US"/>
        </w:rPr>
        <w:drawing>
          <wp:inline distT="0" distB="0" distL="0" distR="0" wp14:anchorId="27D8E214" wp14:editId="22008417">
            <wp:extent cx="5943600" cy="2209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209800"/>
                    </a:xfrm>
                    <a:prstGeom prst="rect">
                      <a:avLst/>
                    </a:prstGeom>
                  </pic:spPr>
                </pic:pic>
              </a:graphicData>
            </a:graphic>
          </wp:inline>
        </w:drawing>
      </w:r>
    </w:p>
    <w:p w14:paraId="365585DF" w14:textId="77777777" w:rsidR="00C154DB" w:rsidRDefault="00C154DB" w:rsidP="00C154DB">
      <w:pPr>
        <w:pStyle w:val="Caption"/>
      </w:pPr>
      <w:r>
        <w:t>Figure 2 Two panel scenario</w:t>
      </w:r>
    </w:p>
    <w:p w14:paraId="09FD8598" w14:textId="52B27AD6" w:rsidR="00C154DB" w:rsidRDefault="00C154DB" w:rsidP="00844CE6">
      <w:pPr>
        <w:pStyle w:val="Observation"/>
      </w:pPr>
      <w:bookmarkStart w:id="2" w:name="_Toc481747327"/>
      <w:r w:rsidRPr="00C154DB">
        <w:t>Substantial l</w:t>
      </w:r>
      <w:r>
        <w:t>ink gains, especially where individual panel gain is low, can potentially be obtained from coherent transmission.</w:t>
      </w:r>
      <w:bookmarkEnd w:id="2"/>
      <w:r w:rsidR="00621A79">
        <w:t xml:space="preserve"> </w:t>
      </w:r>
    </w:p>
    <w:p w14:paraId="5DFAD9EE" w14:textId="71C028BF" w:rsidR="00C154DB" w:rsidRPr="00621A79" w:rsidRDefault="00E41B1C" w:rsidP="00075FA0">
      <w:pPr>
        <w:pStyle w:val="Observation"/>
      </w:pPr>
      <w:bookmarkStart w:id="3" w:name="_Toc481747328"/>
      <w:r>
        <w:t>Notable</w:t>
      </w:r>
      <w:r w:rsidRPr="00C154DB">
        <w:t xml:space="preserve"> </w:t>
      </w:r>
      <w:r w:rsidR="00621A79" w:rsidRPr="00C154DB">
        <w:t>l</w:t>
      </w:r>
      <w:r w:rsidR="00621A79">
        <w:t xml:space="preserve">ink gains, especially where individual panel gain is low, can potentially be obtained also for </w:t>
      </w:r>
      <w:r>
        <w:t>non</w:t>
      </w:r>
      <w:r w:rsidR="00621A79">
        <w:t>coherent transmission across panels with orthogonal polarization</w:t>
      </w:r>
      <w:r w:rsidR="00075FA0">
        <w:t xml:space="preserve"> </w:t>
      </w:r>
      <w:r w:rsidR="00075FA0" w:rsidRPr="00075FA0">
        <w:t xml:space="preserve">in case the total output power </w:t>
      </w:r>
      <w:r w:rsidR="00A55F8F">
        <w:t>is below the maximum allowed</w:t>
      </w:r>
      <w:r w:rsidR="00621A79">
        <w:t xml:space="preserve">. </w:t>
      </w:r>
      <w:r w:rsidR="00285756">
        <w:t xml:space="preserve">  Such gains may be useful for UEs or conditions that can support non-coherent, but not coherent, interpanel transmission.</w:t>
      </w:r>
      <w:bookmarkEnd w:id="3"/>
    </w:p>
    <w:p w14:paraId="7B8764C3" w14:textId="6012AA72" w:rsidR="0052588B" w:rsidRDefault="0052588B" w:rsidP="00C154DB">
      <w:pPr>
        <w:rPr>
          <w:color w:val="FF0000"/>
        </w:rPr>
      </w:pPr>
    </w:p>
    <w:p w14:paraId="1AA1478B" w14:textId="73E82317" w:rsidR="0093258E" w:rsidRDefault="000D6C2E" w:rsidP="0052588B">
      <w:r>
        <w:t xml:space="preserve">In Figure 3 are shown the same results as in Figures 1 and 2 but as </w:t>
      </w:r>
      <w:r w:rsidR="0076109D">
        <w:t>CDF</w:t>
      </w:r>
      <w:r>
        <w:t xml:space="preserve">s. Again, one can observe that </w:t>
      </w:r>
      <w:r w:rsidR="00D13EB3">
        <w:t>substantial gains are potentially available, especially when the link is weak, i.e., for the lowest EIRP.</w:t>
      </w:r>
    </w:p>
    <w:p w14:paraId="52DD154A" w14:textId="46D30931" w:rsidR="0093258E" w:rsidRDefault="00A40362" w:rsidP="0052588B">
      <w:r w:rsidRPr="00A40362">
        <w:rPr>
          <w:noProof/>
          <w:lang w:val="en-US" w:eastAsia="en-US"/>
        </w:rPr>
        <w:t xml:space="preserve"> </w:t>
      </w:r>
      <w:r w:rsidRPr="00A40362">
        <w:rPr>
          <w:noProof/>
          <w:lang w:val="en-US" w:eastAsia="en-US"/>
        </w:rPr>
        <w:drawing>
          <wp:inline distT="0" distB="0" distL="0" distR="0" wp14:anchorId="3E3EA3C5" wp14:editId="1E5A3C3E">
            <wp:extent cx="2934000" cy="219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34000" cy="2199600"/>
                    </a:xfrm>
                    <a:prstGeom prst="rect">
                      <a:avLst/>
                    </a:prstGeom>
                  </pic:spPr>
                </pic:pic>
              </a:graphicData>
            </a:graphic>
          </wp:inline>
        </w:drawing>
      </w:r>
      <w:r w:rsidRPr="00A40362">
        <w:rPr>
          <w:noProof/>
          <w:lang w:val="en-US" w:eastAsia="en-US"/>
        </w:rPr>
        <w:t xml:space="preserve"> </w:t>
      </w:r>
      <w:r w:rsidRPr="00A40362">
        <w:rPr>
          <w:noProof/>
          <w:lang w:val="en-US" w:eastAsia="en-US"/>
        </w:rPr>
        <w:drawing>
          <wp:inline distT="0" distB="0" distL="0" distR="0" wp14:anchorId="4D6399B2" wp14:editId="22995274">
            <wp:extent cx="2934000" cy="219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4000" cy="2199600"/>
                    </a:xfrm>
                    <a:prstGeom prst="rect">
                      <a:avLst/>
                    </a:prstGeom>
                  </pic:spPr>
                </pic:pic>
              </a:graphicData>
            </a:graphic>
          </wp:inline>
        </w:drawing>
      </w:r>
    </w:p>
    <w:p w14:paraId="15034134" w14:textId="60812BF0" w:rsidR="005309D9" w:rsidRDefault="005309D9" w:rsidP="005309D9">
      <w:pPr>
        <w:pStyle w:val="Caption"/>
      </w:pPr>
      <w:r>
        <w:t xml:space="preserve">Figure </w:t>
      </w:r>
      <w:r w:rsidR="003029E7">
        <w:t>3</w:t>
      </w:r>
      <w:r>
        <w:t xml:space="preserve"> C</w:t>
      </w:r>
      <w:r w:rsidR="00AB48B8">
        <w:t>DF</w:t>
      </w:r>
      <w:r>
        <w:t>s showing EIRP</w:t>
      </w:r>
    </w:p>
    <w:p w14:paraId="26FE7A2E" w14:textId="4CEA812F" w:rsidR="0052588B" w:rsidRDefault="0052588B" w:rsidP="00C154DB">
      <w:r>
        <w:lastRenderedPageBreak/>
        <w:t>In the evaluation above gain, or rather EIRP, was used as the metric which makes sense if one discard</w:t>
      </w:r>
      <w:r w:rsidR="0076109D">
        <w:t>s the</w:t>
      </w:r>
      <w:r>
        <w:t xml:space="preserve"> impact of the channel (except from AOA). However, what really matters</w:t>
      </w:r>
      <w:r w:rsidR="00D13EB3">
        <w:t>, at least in a noise limited coverage scenario,</w:t>
      </w:r>
      <w:r w:rsidR="0023453F">
        <w:t xml:space="preserve"> is</w:t>
      </w:r>
      <w:r>
        <w:t xml:space="preserve"> the signal received at the TRP</w:t>
      </w:r>
      <w:r w:rsidR="0023453F">
        <w:t xml:space="preserve">. To maximize received power all panels (ports) </w:t>
      </w:r>
      <w:r w:rsidR="0076109D">
        <w:t xml:space="preserve">should </w:t>
      </w:r>
      <w:r w:rsidR="0023453F">
        <w:t xml:space="preserve">be used for transmission and then there is no need that </w:t>
      </w:r>
      <w:r w:rsidR="003029E7">
        <w:t xml:space="preserve">the beam formed in each of the </w:t>
      </w:r>
      <w:r w:rsidR="0023453F">
        <w:t xml:space="preserve">different panels points in the same direction </w:t>
      </w:r>
      <w:r w:rsidR="003029E7">
        <w:t xml:space="preserve">as the beam formed in the other panels </w:t>
      </w:r>
      <w:r w:rsidR="0023453F">
        <w:t>as in the above analysis. Instead, each panel sha</w:t>
      </w:r>
      <w:r w:rsidR="00D13EB3">
        <w:t>ll be pointed to give as good</w:t>
      </w:r>
      <w:r w:rsidR="0023453F">
        <w:t xml:space="preserve"> path gain as possible and the optimal precoder is a </w:t>
      </w:r>
      <w:r w:rsidR="00D13EB3">
        <w:t xml:space="preserve">non-constant modulus </w:t>
      </w:r>
      <w:r w:rsidR="0023453F">
        <w:t>precoder, for example based on an SVD</w:t>
      </w:r>
      <w:r w:rsidR="00164BA1">
        <w:t>.</w:t>
      </w:r>
      <w:bookmarkStart w:id="4" w:name="_GoBack"/>
      <w:bookmarkEnd w:id="4"/>
      <w:r w:rsidR="003029E7">
        <w:t xml:space="preserve">  On the other hand, if </w:t>
      </w:r>
      <w:r w:rsidR="0023453F">
        <w:t xml:space="preserve">interference </w:t>
      </w:r>
      <w:r w:rsidR="003029E7">
        <w:t xml:space="preserve">produced by </w:t>
      </w:r>
      <w:r w:rsidR="0023453F">
        <w:t>spread</w:t>
      </w:r>
      <w:r w:rsidR="000E30A4">
        <w:t>ing the beams over different directions is considered,</w:t>
      </w:r>
      <w:r w:rsidR="0023453F">
        <w:t xml:space="preserve"> the problem becomes more complex. For example, it’s not obvious which, and how many, ports shall be used. Further there may be a trade</w:t>
      </w:r>
      <w:r w:rsidR="00EA24E2">
        <w:t>-</w:t>
      </w:r>
      <w:r w:rsidR="0023453F">
        <w:t>off between</w:t>
      </w:r>
      <w:r w:rsidR="00EA24E2">
        <w:t xml:space="preserve"> maximizing path gain, by finding the best beam per panel, and interference spread</w:t>
      </w:r>
      <w:r w:rsidR="00075FA0" w:rsidRPr="00075FA0">
        <w:t xml:space="preserve"> </w:t>
      </w:r>
      <w:r w:rsidR="00075FA0">
        <w:t>as well as increasing rank.</w:t>
      </w:r>
      <w:r w:rsidR="0023453F">
        <w:t xml:space="preserve"> </w:t>
      </w:r>
    </w:p>
    <w:p w14:paraId="3830AD31" w14:textId="69717394" w:rsidR="00D13EB3" w:rsidRPr="00D13EB3" w:rsidRDefault="00D13EB3" w:rsidP="00C154DB">
      <w:r>
        <w:t xml:space="preserve">To summarize, multipanel coherent transmission appears to offer </w:t>
      </w:r>
      <w:r w:rsidR="00E41B1C">
        <w:t xml:space="preserve">useful </w:t>
      </w:r>
      <w:r>
        <w:t>gains</w:t>
      </w:r>
      <w:r w:rsidR="000E30A4">
        <w:t>, and</w:t>
      </w:r>
      <w:r>
        <w:t xml:space="preserve"> should be studied further using realistic channels. It is also important that flexible panel use is supported such that the UE can switch between single and multipanel use depending on channel conditions. </w:t>
      </w:r>
    </w:p>
    <w:p w14:paraId="4AE70D2F" w14:textId="504FD178" w:rsidR="00285756" w:rsidRDefault="000E30A4" w:rsidP="00C154DB">
      <w:pPr>
        <w:pStyle w:val="Proposal"/>
      </w:pPr>
      <w:bookmarkStart w:id="5" w:name="_Toc481696324"/>
      <w:bookmarkStart w:id="6" w:name="_Toc481697208"/>
      <w:bookmarkStart w:id="7" w:name="_Toc481697929"/>
      <w:bookmarkStart w:id="8" w:name="_Toc481747329"/>
      <w:bookmarkStart w:id="9" w:name="_Toc481694529"/>
      <w:r>
        <w:t xml:space="preserve">Support for </w:t>
      </w:r>
      <w:r w:rsidR="00EA3EB3">
        <w:t xml:space="preserve">at least </w:t>
      </w:r>
      <w:r>
        <w:t>c</w:t>
      </w:r>
      <w:r w:rsidR="00C154DB" w:rsidRPr="00C154DB">
        <w:t xml:space="preserve">oherent transmission across panels </w:t>
      </w:r>
      <w:r>
        <w:t xml:space="preserve">is a working assumption, to be confirmed with </w:t>
      </w:r>
      <w:r w:rsidR="00621A79">
        <w:t>more detailed investigation</w:t>
      </w:r>
      <w:bookmarkEnd w:id="5"/>
      <w:bookmarkEnd w:id="6"/>
      <w:bookmarkEnd w:id="7"/>
      <w:bookmarkEnd w:id="8"/>
    </w:p>
    <w:p w14:paraId="0BA1FFC5" w14:textId="26F8EFC9" w:rsidR="00C154DB" w:rsidRPr="00C154DB" w:rsidRDefault="00285756" w:rsidP="00C154DB">
      <w:pPr>
        <w:pStyle w:val="Proposal"/>
      </w:pPr>
      <w:bookmarkStart w:id="10" w:name="_Toc481697930"/>
      <w:bookmarkStart w:id="11" w:name="_Toc481747330"/>
      <w:r>
        <w:t>Investigate benefits of non-coherent transmission for UEs or conditions that can support non-coherent, but not coherent, interpanel</w:t>
      </w:r>
      <w:bookmarkEnd w:id="9"/>
      <w:r>
        <w:t xml:space="preserve"> transmission.</w:t>
      </w:r>
      <w:bookmarkEnd w:id="10"/>
      <w:bookmarkEnd w:id="11"/>
    </w:p>
    <w:p w14:paraId="60DDDFDD" w14:textId="77777777" w:rsidR="000F5978" w:rsidRDefault="000F5978" w:rsidP="000F5978">
      <w:pPr>
        <w:rPr>
          <w:color w:val="FF0000"/>
        </w:rPr>
      </w:pPr>
    </w:p>
    <w:p w14:paraId="7F1FBD32" w14:textId="77777777" w:rsidR="00016B61" w:rsidRDefault="000F5978" w:rsidP="00971BB3">
      <w:pPr>
        <w:pStyle w:val="Heading1"/>
      </w:pPr>
      <w:r>
        <w:t>Conclusions</w:t>
      </w:r>
    </w:p>
    <w:p w14:paraId="282472EA" w14:textId="3713C4F7" w:rsidR="00EA3EB3" w:rsidRDefault="00EA3EB3" w:rsidP="00164BA1">
      <w:r w:rsidRPr="00EA3EB3">
        <w:t xml:space="preserve">In this contribution, we considered the potential of coherent and non-coherent inter-panel transmission, making the following observations:  </w:t>
      </w:r>
    </w:p>
    <w:p w14:paraId="4F831ACA" w14:textId="257959B2" w:rsidR="00AC3DA5" w:rsidRDefault="003127C9">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47327" w:history="1">
        <w:r w:rsidR="00AC3DA5" w:rsidRPr="002024B7">
          <w:rPr>
            <w:rStyle w:val="Hyperlink"/>
          </w:rPr>
          <w:t>Observation 1</w:t>
        </w:r>
        <w:r w:rsidR="00AC3DA5">
          <w:rPr>
            <w:rFonts w:asciiTheme="minorHAnsi" w:eastAsiaTheme="minorEastAsia" w:hAnsiTheme="minorHAnsi" w:cstheme="minorBidi"/>
            <w:b w:val="0"/>
            <w:sz w:val="22"/>
            <w:lang w:eastAsia="en-US"/>
          </w:rPr>
          <w:tab/>
        </w:r>
        <w:r w:rsidR="00AC3DA5" w:rsidRPr="002024B7">
          <w:rPr>
            <w:rStyle w:val="Hyperlink"/>
          </w:rPr>
          <w:t>Substantial link gains, especially where individual panel gain is low, can potentially be obtained from coherent transmission.</w:t>
        </w:r>
      </w:hyperlink>
    </w:p>
    <w:p w14:paraId="73A79EEE" w14:textId="3E703727" w:rsidR="00AC3DA5" w:rsidRDefault="00AC3DA5">
      <w:pPr>
        <w:pStyle w:val="TOC1"/>
        <w:rPr>
          <w:rFonts w:asciiTheme="minorHAnsi" w:eastAsiaTheme="minorEastAsia" w:hAnsiTheme="minorHAnsi" w:cstheme="minorBidi"/>
          <w:b w:val="0"/>
          <w:sz w:val="22"/>
          <w:lang w:eastAsia="en-US"/>
        </w:rPr>
      </w:pPr>
      <w:hyperlink w:anchor="_Toc481747328" w:history="1">
        <w:r w:rsidRPr="002024B7">
          <w:rPr>
            <w:rStyle w:val="Hyperlink"/>
          </w:rPr>
          <w:t>Observation 2</w:t>
        </w:r>
        <w:r>
          <w:rPr>
            <w:rFonts w:asciiTheme="minorHAnsi" w:eastAsiaTheme="minorEastAsia" w:hAnsiTheme="minorHAnsi" w:cstheme="minorBidi"/>
            <w:b w:val="0"/>
            <w:sz w:val="22"/>
            <w:lang w:eastAsia="en-US"/>
          </w:rPr>
          <w:tab/>
        </w:r>
        <w:r w:rsidRPr="002024B7">
          <w:rPr>
            <w:rStyle w:val="Hyperlink"/>
          </w:rPr>
          <w:t>Notable link gains, especially where individual panel gain is low, can potentially be obtained also for noncoherent transmission across panels with orthogonal polarization in case the total output power is below the maximum allowed.   Such gains may be useful for UEs or conditions that can support non-coherent, but not coherent, interpanel transmission.</w:t>
        </w:r>
      </w:hyperlink>
    </w:p>
    <w:p w14:paraId="3800C793" w14:textId="08CA3D15" w:rsidR="003127C9" w:rsidRDefault="003127C9" w:rsidP="00164BA1">
      <w:pPr>
        <w:pStyle w:val="BodyText"/>
        <w:rPr>
          <w:bCs/>
        </w:rPr>
      </w:pPr>
      <w:r>
        <w:rPr>
          <w:bCs/>
          <w:noProof/>
          <w:szCs w:val="22"/>
          <w:lang w:val="en-US"/>
        </w:rPr>
        <w:fldChar w:fldCharType="end"/>
      </w:r>
    </w:p>
    <w:p w14:paraId="2D781968" w14:textId="7FF72519" w:rsidR="00AB48B8" w:rsidRPr="00EA3EB3" w:rsidRDefault="00EA3EB3" w:rsidP="00164BA1">
      <w:pPr>
        <w:pStyle w:val="BodyText"/>
      </w:pPr>
      <w:r>
        <w:t xml:space="preserve">Given the </w:t>
      </w:r>
      <w:r w:rsidRPr="00EA3EB3">
        <w:t>observation</w:t>
      </w:r>
      <w:r>
        <w:t>s,</w:t>
      </w:r>
      <w:r w:rsidR="003E4112" w:rsidRPr="00EA3EB3">
        <w:t xml:space="preserve"> we propose</w:t>
      </w:r>
      <w:r>
        <w:t>:</w:t>
      </w:r>
    </w:p>
    <w:p w14:paraId="05733EDF" w14:textId="4757383A" w:rsidR="00AC3DA5" w:rsidRDefault="003E4112">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AC3DA5">
        <w:t>Proposal 1</w:t>
      </w:r>
      <w:r w:rsidR="00AC3DA5">
        <w:rPr>
          <w:rFonts w:asciiTheme="minorHAnsi" w:eastAsiaTheme="minorEastAsia" w:hAnsiTheme="minorHAnsi" w:cstheme="minorBidi"/>
          <w:b w:val="0"/>
          <w:sz w:val="22"/>
          <w:lang w:eastAsia="en-US"/>
        </w:rPr>
        <w:tab/>
      </w:r>
      <w:r w:rsidR="00AC3DA5">
        <w:t>Support for  at least coherent transmission across panels is a working assumption, to be confirmed with more detailed investigation</w:t>
      </w:r>
    </w:p>
    <w:p w14:paraId="313FB1D3" w14:textId="77777777" w:rsidR="00AC3DA5" w:rsidRDefault="00AC3DA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Investigate benefits of non-coherent transmission for UEs or conditions that can support non-coherent, but not coherent, interpanel transmission.</w:t>
      </w:r>
    </w:p>
    <w:p w14:paraId="499EEA3D" w14:textId="77777777" w:rsidR="000F5978" w:rsidRDefault="003E4112" w:rsidP="003E4112">
      <w:r>
        <w:rPr>
          <w:b/>
          <w:bCs/>
        </w:rPr>
        <w:fldChar w:fldCharType="end"/>
      </w:r>
    </w:p>
    <w:p w14:paraId="6F9B0F65" w14:textId="77777777" w:rsidR="000F5978" w:rsidRDefault="000F5978" w:rsidP="000F5978">
      <w:pPr>
        <w:pStyle w:val="Heading1"/>
      </w:pPr>
      <w:r>
        <w:t>References</w:t>
      </w:r>
    </w:p>
    <w:p w14:paraId="6D118643" w14:textId="74D4FF84" w:rsidR="003E4112" w:rsidRDefault="003E4112" w:rsidP="003E4112">
      <w:r>
        <w:t xml:space="preserve">[1] </w:t>
      </w:r>
      <w:r>
        <w:tab/>
      </w:r>
      <w:r w:rsidR="00A032A4" w:rsidRPr="00A032A4">
        <w:t xml:space="preserve">3GPP </w:t>
      </w:r>
      <w:r>
        <w:t>TR 38.802</w:t>
      </w:r>
      <w:r w:rsidR="00A032A4">
        <w:t xml:space="preserve"> v14.0</w:t>
      </w:r>
      <w:r w:rsidR="00A032A4" w:rsidRPr="00A032A4">
        <w:t>.0, “</w:t>
      </w:r>
      <w:r w:rsidR="00A032A4">
        <w:t>S</w:t>
      </w:r>
      <w:r w:rsidR="00A032A4" w:rsidRPr="00A032A4">
        <w:t>tudy on New Radio Access Technology; Physical Layer Aspects</w:t>
      </w:r>
      <w:r w:rsidR="00A032A4">
        <w:t xml:space="preserve"> (Release 14</w:t>
      </w:r>
      <w:r w:rsidR="00A032A4" w:rsidRPr="00A032A4">
        <w:t xml:space="preserve">)”, </w:t>
      </w:r>
      <w:r w:rsidR="00A032A4">
        <w:t>March</w:t>
      </w:r>
      <w:r w:rsidR="00A032A4" w:rsidRPr="00A032A4">
        <w:t xml:space="preserve"> 201</w:t>
      </w:r>
      <w:r w:rsidR="00A032A4">
        <w:t>7</w:t>
      </w:r>
    </w:p>
    <w:p w14:paraId="5458BC83" w14:textId="77777777" w:rsidR="003E4112" w:rsidRDefault="003E4112" w:rsidP="003E4112"/>
    <w:p w14:paraId="2E378F83" w14:textId="77777777" w:rsidR="002B5AE5" w:rsidRPr="00CE0424" w:rsidRDefault="002B5AE5" w:rsidP="002B5AE5">
      <w:pPr>
        <w:pStyle w:val="Reference"/>
        <w:numPr>
          <w:ilvl w:val="0"/>
          <w:numId w:val="0"/>
        </w:numPr>
        <w:ind w:left="567"/>
      </w:pPr>
      <w:bookmarkStart w:id="12" w:name="_In-sequence_SDU_delivery"/>
      <w:bookmarkEnd w:id="0"/>
      <w:bookmarkEnd w:id="12"/>
    </w:p>
    <w:sectPr w:rsidR="002B5AE5" w:rsidRPr="00CE042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CC2ED" w14:textId="77777777" w:rsidR="002A6A23" w:rsidRDefault="002A6A23">
      <w:r>
        <w:separator/>
      </w:r>
    </w:p>
  </w:endnote>
  <w:endnote w:type="continuationSeparator" w:id="0">
    <w:p w14:paraId="6129B54D" w14:textId="77777777" w:rsidR="002A6A23" w:rsidRDefault="002A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Ericsson Capital TT">
    <w:altName w:val="Ericsson Capital TT"/>
    <w:panose1 w:val="02000503000000020004"/>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28F8D" w14:textId="394639B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4BA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4BA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6A107" w14:textId="77777777" w:rsidR="002A6A23" w:rsidRDefault="002A6A23">
      <w:r>
        <w:separator/>
      </w:r>
    </w:p>
  </w:footnote>
  <w:footnote w:type="continuationSeparator" w:id="0">
    <w:p w14:paraId="4E4D1D00" w14:textId="77777777" w:rsidR="002A6A23" w:rsidRDefault="002A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CDC9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1ACC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A5B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706142"/>
    <w:lvl w:ilvl="0">
      <w:start w:val="1"/>
      <w:numFmt w:val="decimal"/>
      <w:lvlText w:val="%1."/>
      <w:lvlJc w:val="left"/>
      <w:pPr>
        <w:tabs>
          <w:tab w:val="num" w:pos="926"/>
        </w:tabs>
        <w:ind w:left="926" w:hanging="360"/>
      </w:pPr>
    </w:lvl>
  </w:abstractNum>
  <w:abstractNum w:abstractNumId="3"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237D7"/>
    <w:multiLevelType w:val="hybridMultilevel"/>
    <w:tmpl w:val="C6C89696"/>
    <w:lvl w:ilvl="0" w:tplc="5D8427D0">
      <w:start w:val="1"/>
      <w:numFmt w:val="bullet"/>
      <w:lvlText w:val="–"/>
      <w:lvlJc w:val="left"/>
      <w:pPr>
        <w:tabs>
          <w:tab w:val="num" w:pos="720"/>
        </w:tabs>
        <w:ind w:left="720" w:hanging="360"/>
      </w:pPr>
      <w:rPr>
        <w:rFonts w:ascii="Ericsson Capital TT" w:hAnsi="Ericsson Capital TT" w:hint="default"/>
      </w:rPr>
    </w:lvl>
    <w:lvl w:ilvl="1" w:tplc="E1AE9606">
      <w:start w:val="1"/>
      <w:numFmt w:val="bullet"/>
      <w:lvlText w:val="–"/>
      <w:lvlJc w:val="left"/>
      <w:pPr>
        <w:tabs>
          <w:tab w:val="num" w:pos="1440"/>
        </w:tabs>
        <w:ind w:left="1440" w:hanging="360"/>
      </w:pPr>
      <w:rPr>
        <w:rFonts w:ascii="Ericsson Capital TT" w:hAnsi="Ericsson Capital TT" w:hint="default"/>
      </w:rPr>
    </w:lvl>
    <w:lvl w:ilvl="2" w:tplc="DB669B3E">
      <w:numFmt w:val="bullet"/>
      <w:lvlText w:val="›"/>
      <w:lvlJc w:val="left"/>
      <w:pPr>
        <w:tabs>
          <w:tab w:val="num" w:pos="2160"/>
        </w:tabs>
        <w:ind w:left="2160" w:hanging="360"/>
      </w:pPr>
      <w:rPr>
        <w:rFonts w:ascii="Ericsson Capital TT" w:hAnsi="Ericsson Capital TT" w:hint="default"/>
      </w:rPr>
    </w:lvl>
    <w:lvl w:ilvl="3" w:tplc="0A8C05DC">
      <w:start w:val="1"/>
      <w:numFmt w:val="bullet"/>
      <w:lvlText w:val="–"/>
      <w:lvlJc w:val="left"/>
      <w:pPr>
        <w:tabs>
          <w:tab w:val="num" w:pos="2880"/>
        </w:tabs>
        <w:ind w:left="2880" w:hanging="360"/>
      </w:pPr>
      <w:rPr>
        <w:rFonts w:ascii="Ericsson Capital TT" w:hAnsi="Ericsson Capital TT" w:hint="default"/>
      </w:rPr>
    </w:lvl>
    <w:lvl w:ilvl="4" w:tplc="4C98C9E8">
      <w:start w:val="1"/>
      <w:numFmt w:val="bullet"/>
      <w:lvlText w:val="–"/>
      <w:lvlJc w:val="left"/>
      <w:pPr>
        <w:tabs>
          <w:tab w:val="num" w:pos="3600"/>
        </w:tabs>
        <w:ind w:left="3600" w:hanging="360"/>
      </w:pPr>
      <w:rPr>
        <w:rFonts w:ascii="Ericsson Capital TT" w:hAnsi="Ericsson Capital TT" w:hint="default"/>
      </w:rPr>
    </w:lvl>
    <w:lvl w:ilvl="5" w:tplc="418AB126">
      <w:start w:val="1"/>
      <w:numFmt w:val="bullet"/>
      <w:lvlText w:val="–"/>
      <w:lvlJc w:val="left"/>
      <w:pPr>
        <w:tabs>
          <w:tab w:val="num" w:pos="4320"/>
        </w:tabs>
        <w:ind w:left="4320" w:hanging="360"/>
      </w:pPr>
      <w:rPr>
        <w:rFonts w:ascii="Ericsson Capital TT" w:hAnsi="Ericsson Capital TT" w:hint="default"/>
      </w:rPr>
    </w:lvl>
    <w:lvl w:ilvl="6" w:tplc="7C60DCA6">
      <w:start w:val="1"/>
      <w:numFmt w:val="bullet"/>
      <w:lvlText w:val="–"/>
      <w:lvlJc w:val="left"/>
      <w:pPr>
        <w:tabs>
          <w:tab w:val="num" w:pos="5040"/>
        </w:tabs>
        <w:ind w:left="5040" w:hanging="360"/>
      </w:pPr>
      <w:rPr>
        <w:rFonts w:ascii="Ericsson Capital TT" w:hAnsi="Ericsson Capital TT" w:hint="default"/>
      </w:rPr>
    </w:lvl>
    <w:lvl w:ilvl="7" w:tplc="8ED04546">
      <w:start w:val="1"/>
      <w:numFmt w:val="bullet"/>
      <w:lvlText w:val="–"/>
      <w:lvlJc w:val="left"/>
      <w:pPr>
        <w:tabs>
          <w:tab w:val="num" w:pos="5760"/>
        </w:tabs>
        <w:ind w:left="5760" w:hanging="360"/>
      </w:pPr>
      <w:rPr>
        <w:rFonts w:ascii="Ericsson Capital TT" w:hAnsi="Ericsson Capital TT" w:hint="default"/>
      </w:rPr>
    </w:lvl>
    <w:lvl w:ilvl="8" w:tplc="09F099B8">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0D6071A"/>
    <w:multiLevelType w:val="multilevel"/>
    <w:tmpl w:val="1E9C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FF5"/>
    <w:multiLevelType w:val="hybridMultilevel"/>
    <w:tmpl w:val="F264A700"/>
    <w:lvl w:ilvl="0" w:tplc="F2C4E2D6">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10" w15:restartNumberingAfterBreak="0">
    <w:nsid w:val="12127896"/>
    <w:multiLevelType w:val="hybridMultilevel"/>
    <w:tmpl w:val="CC069F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3A610A"/>
    <w:multiLevelType w:val="multilevel"/>
    <w:tmpl w:val="2B8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FE6EB9"/>
    <w:multiLevelType w:val="multilevel"/>
    <w:tmpl w:val="DED4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6"/>
  </w:num>
  <w:num w:numId="3">
    <w:abstractNumId w:val="21"/>
  </w:num>
  <w:num w:numId="4">
    <w:abstractNumId w:val="22"/>
  </w:num>
  <w:num w:numId="5">
    <w:abstractNumId w:val="18"/>
  </w:num>
  <w:num w:numId="6">
    <w:abstractNumId w:val="24"/>
  </w:num>
  <w:num w:numId="7">
    <w:abstractNumId w:val="29"/>
  </w:num>
  <w:num w:numId="8">
    <w:abstractNumId w:val="19"/>
  </w:num>
  <w:num w:numId="9">
    <w:abstractNumId w:val="15"/>
  </w:num>
  <w:num w:numId="10">
    <w:abstractNumId w:val="2"/>
  </w:num>
  <w:num w:numId="11">
    <w:abstractNumId w:val="1"/>
  </w:num>
  <w:num w:numId="12">
    <w:abstractNumId w:val="0"/>
  </w:num>
  <w:num w:numId="13">
    <w:abstractNumId w:val="28"/>
  </w:num>
  <w:num w:numId="14">
    <w:abstractNumId w:val="20"/>
  </w:num>
  <w:num w:numId="15">
    <w:abstractNumId w:val="14"/>
  </w:num>
  <w:num w:numId="16">
    <w:abstractNumId w:val="31"/>
  </w:num>
  <w:num w:numId="17">
    <w:abstractNumId w:val="12"/>
  </w:num>
  <w:num w:numId="18">
    <w:abstractNumId w:val="8"/>
  </w:num>
  <w:num w:numId="19">
    <w:abstractNumId w:val="30"/>
  </w:num>
  <w:num w:numId="20">
    <w:abstractNumId w:val="11"/>
  </w:num>
  <w:num w:numId="21">
    <w:abstractNumId w:val="6"/>
  </w:num>
  <w:num w:numId="22">
    <w:abstractNumId w:val="32"/>
  </w:num>
  <w:num w:numId="23">
    <w:abstractNumId w:val="17"/>
  </w:num>
  <w:num w:numId="24">
    <w:abstractNumId w:val="23"/>
  </w:num>
  <w:num w:numId="25">
    <w:abstractNumId w:val="35"/>
  </w:num>
  <w:num w:numId="26">
    <w:abstractNumId w:val="5"/>
  </w:num>
  <w:num w:numId="27">
    <w:abstractNumId w:val="9"/>
  </w:num>
  <w:num w:numId="28">
    <w:abstractNumId w:val="33"/>
  </w:num>
  <w:num w:numId="29">
    <w:abstractNumId w:val="13"/>
  </w:num>
  <w:num w:numId="30">
    <w:abstractNumId w:val="27"/>
  </w:num>
  <w:num w:numId="31">
    <w:abstractNumId w:val="9"/>
  </w:num>
  <w:num w:numId="32">
    <w:abstractNumId w:val="10"/>
  </w:num>
  <w:num w:numId="33">
    <w:abstractNumId w:val="16"/>
  </w:num>
  <w:num w:numId="34">
    <w:abstractNumId w:val="7"/>
  </w:num>
  <w:num w:numId="35">
    <w:abstractNumId w:val="34"/>
  </w:num>
  <w:num w:numId="36">
    <w:abstractNumId w:val="21"/>
    <w:lvlOverride w:ilvl="0">
      <w:startOverride w:val="1"/>
    </w:lvlOverride>
  </w:num>
  <w:num w:numId="37">
    <w:abstractNumId w:val="3"/>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B61"/>
    <w:rsid w:val="0002564D"/>
    <w:rsid w:val="00025ECA"/>
    <w:rsid w:val="00030B30"/>
    <w:rsid w:val="000325B8"/>
    <w:rsid w:val="00034C15"/>
    <w:rsid w:val="00036BA1"/>
    <w:rsid w:val="00042009"/>
    <w:rsid w:val="000422E2"/>
    <w:rsid w:val="00042F22"/>
    <w:rsid w:val="000444EF"/>
    <w:rsid w:val="00045FE0"/>
    <w:rsid w:val="00052A07"/>
    <w:rsid w:val="000534E3"/>
    <w:rsid w:val="0005606A"/>
    <w:rsid w:val="00057117"/>
    <w:rsid w:val="000616E7"/>
    <w:rsid w:val="0006487E"/>
    <w:rsid w:val="00065E1A"/>
    <w:rsid w:val="00072EBA"/>
    <w:rsid w:val="00075FA0"/>
    <w:rsid w:val="00077E5F"/>
    <w:rsid w:val="0008036A"/>
    <w:rsid w:val="0008103C"/>
    <w:rsid w:val="00081AE6"/>
    <w:rsid w:val="00084BD4"/>
    <w:rsid w:val="000855EB"/>
    <w:rsid w:val="00085B52"/>
    <w:rsid w:val="000866F2"/>
    <w:rsid w:val="0009009F"/>
    <w:rsid w:val="00091557"/>
    <w:rsid w:val="000924C1"/>
    <w:rsid w:val="000924F0"/>
    <w:rsid w:val="00093474"/>
    <w:rsid w:val="00094210"/>
    <w:rsid w:val="0009510F"/>
    <w:rsid w:val="000A1B7B"/>
    <w:rsid w:val="000A4363"/>
    <w:rsid w:val="000A56F2"/>
    <w:rsid w:val="000B2719"/>
    <w:rsid w:val="000B3A8F"/>
    <w:rsid w:val="000B4AB9"/>
    <w:rsid w:val="000B58C3"/>
    <w:rsid w:val="000B61E9"/>
    <w:rsid w:val="000C165A"/>
    <w:rsid w:val="000C2E19"/>
    <w:rsid w:val="000D0D07"/>
    <w:rsid w:val="000D4797"/>
    <w:rsid w:val="000D6C2E"/>
    <w:rsid w:val="000E0527"/>
    <w:rsid w:val="000E1E92"/>
    <w:rsid w:val="000E30A4"/>
    <w:rsid w:val="000E5EA9"/>
    <w:rsid w:val="000F06D6"/>
    <w:rsid w:val="000F0EB1"/>
    <w:rsid w:val="000F1106"/>
    <w:rsid w:val="000F3BE9"/>
    <w:rsid w:val="000F3F6C"/>
    <w:rsid w:val="000F5978"/>
    <w:rsid w:val="000F63AA"/>
    <w:rsid w:val="000F69F0"/>
    <w:rsid w:val="000F6DF3"/>
    <w:rsid w:val="001005FF"/>
    <w:rsid w:val="001062FB"/>
    <w:rsid w:val="001063E6"/>
    <w:rsid w:val="00113CF4"/>
    <w:rsid w:val="0011471C"/>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BA1"/>
    <w:rsid w:val="001659C1"/>
    <w:rsid w:val="00173A8E"/>
    <w:rsid w:val="00180E86"/>
    <w:rsid w:val="0018143F"/>
    <w:rsid w:val="00190AC1"/>
    <w:rsid w:val="0019341A"/>
    <w:rsid w:val="00197DF9"/>
    <w:rsid w:val="00197E07"/>
    <w:rsid w:val="001A0A6B"/>
    <w:rsid w:val="001A1987"/>
    <w:rsid w:val="001A2564"/>
    <w:rsid w:val="001A6173"/>
    <w:rsid w:val="001A6CBA"/>
    <w:rsid w:val="001B0D97"/>
    <w:rsid w:val="001B5A5D"/>
    <w:rsid w:val="001C1CE5"/>
    <w:rsid w:val="001C3D2A"/>
    <w:rsid w:val="001D51BA"/>
    <w:rsid w:val="001D61B5"/>
    <w:rsid w:val="001D6342"/>
    <w:rsid w:val="001D6D53"/>
    <w:rsid w:val="001E2560"/>
    <w:rsid w:val="001E58E2"/>
    <w:rsid w:val="001E6DA0"/>
    <w:rsid w:val="001E7AED"/>
    <w:rsid w:val="001F3916"/>
    <w:rsid w:val="001F54C5"/>
    <w:rsid w:val="001F655B"/>
    <w:rsid w:val="001F662C"/>
    <w:rsid w:val="001F7074"/>
    <w:rsid w:val="00200490"/>
    <w:rsid w:val="00201F3A"/>
    <w:rsid w:val="00203F96"/>
    <w:rsid w:val="002069B2"/>
    <w:rsid w:val="00207FA3"/>
    <w:rsid w:val="00214DA8"/>
    <w:rsid w:val="00215423"/>
    <w:rsid w:val="002158FA"/>
    <w:rsid w:val="002177BF"/>
    <w:rsid w:val="00220600"/>
    <w:rsid w:val="00220DD8"/>
    <w:rsid w:val="002224DB"/>
    <w:rsid w:val="00223FCB"/>
    <w:rsid w:val="002252C3"/>
    <w:rsid w:val="00225C54"/>
    <w:rsid w:val="00230765"/>
    <w:rsid w:val="002319E4"/>
    <w:rsid w:val="0023453F"/>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756"/>
    <w:rsid w:val="00286ACD"/>
    <w:rsid w:val="00287838"/>
    <w:rsid w:val="002907B5"/>
    <w:rsid w:val="00292EB7"/>
    <w:rsid w:val="00296227"/>
    <w:rsid w:val="00296F44"/>
    <w:rsid w:val="0029777D"/>
    <w:rsid w:val="002A055E"/>
    <w:rsid w:val="002A1D4E"/>
    <w:rsid w:val="002A2869"/>
    <w:rsid w:val="002A5CFA"/>
    <w:rsid w:val="002A6A23"/>
    <w:rsid w:val="002B24D6"/>
    <w:rsid w:val="002B5AE5"/>
    <w:rsid w:val="002C41E6"/>
    <w:rsid w:val="002D071A"/>
    <w:rsid w:val="002D34B2"/>
    <w:rsid w:val="002D609D"/>
    <w:rsid w:val="002D7637"/>
    <w:rsid w:val="002E17F2"/>
    <w:rsid w:val="002E7CAE"/>
    <w:rsid w:val="002F2771"/>
    <w:rsid w:val="002F37A9"/>
    <w:rsid w:val="002F6288"/>
    <w:rsid w:val="002F6C45"/>
    <w:rsid w:val="002F7412"/>
    <w:rsid w:val="00301CE6"/>
    <w:rsid w:val="0030256B"/>
    <w:rsid w:val="003029E7"/>
    <w:rsid w:val="0030501F"/>
    <w:rsid w:val="00307BA1"/>
    <w:rsid w:val="00307C6D"/>
    <w:rsid w:val="00311702"/>
    <w:rsid w:val="00311E82"/>
    <w:rsid w:val="003127C9"/>
    <w:rsid w:val="00313FD6"/>
    <w:rsid w:val="003143BD"/>
    <w:rsid w:val="003203ED"/>
    <w:rsid w:val="00320A6C"/>
    <w:rsid w:val="00320FB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0E86"/>
    <w:rsid w:val="0036794B"/>
    <w:rsid w:val="00370E47"/>
    <w:rsid w:val="00371081"/>
    <w:rsid w:val="003742AC"/>
    <w:rsid w:val="00374ADB"/>
    <w:rsid w:val="00377CE1"/>
    <w:rsid w:val="00380FED"/>
    <w:rsid w:val="00385BF0"/>
    <w:rsid w:val="003939FF"/>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C45"/>
    <w:rsid w:val="003D5B1F"/>
    <w:rsid w:val="003E15FA"/>
    <w:rsid w:val="003E4112"/>
    <w:rsid w:val="003E55E4"/>
    <w:rsid w:val="003E74E3"/>
    <w:rsid w:val="003F05C7"/>
    <w:rsid w:val="003F2CD4"/>
    <w:rsid w:val="003F2E2D"/>
    <w:rsid w:val="003F534A"/>
    <w:rsid w:val="003F6BBE"/>
    <w:rsid w:val="004000E8"/>
    <w:rsid w:val="00401DEB"/>
    <w:rsid w:val="00402E2B"/>
    <w:rsid w:val="004033B5"/>
    <w:rsid w:val="004050EA"/>
    <w:rsid w:val="0040512B"/>
    <w:rsid w:val="00405341"/>
    <w:rsid w:val="00405CA5"/>
    <w:rsid w:val="00407CD3"/>
    <w:rsid w:val="00410134"/>
    <w:rsid w:val="00410B72"/>
    <w:rsid w:val="00410F18"/>
    <w:rsid w:val="0041263E"/>
    <w:rsid w:val="004137B5"/>
    <w:rsid w:val="00413AAC"/>
    <w:rsid w:val="00413E92"/>
    <w:rsid w:val="00421105"/>
    <w:rsid w:val="004242F4"/>
    <w:rsid w:val="00427248"/>
    <w:rsid w:val="00431776"/>
    <w:rsid w:val="00437447"/>
    <w:rsid w:val="00441782"/>
    <w:rsid w:val="00441A92"/>
    <w:rsid w:val="00441F63"/>
    <w:rsid w:val="00444F56"/>
    <w:rsid w:val="00446488"/>
    <w:rsid w:val="004517AA"/>
    <w:rsid w:val="00452CAC"/>
    <w:rsid w:val="00457565"/>
    <w:rsid w:val="00457B71"/>
    <w:rsid w:val="00463774"/>
    <w:rsid w:val="004669E2"/>
    <w:rsid w:val="00470C31"/>
    <w:rsid w:val="004734D0"/>
    <w:rsid w:val="0047556B"/>
    <w:rsid w:val="00477768"/>
    <w:rsid w:val="00480D13"/>
    <w:rsid w:val="00484051"/>
    <w:rsid w:val="00492BC5"/>
    <w:rsid w:val="004964F1"/>
    <w:rsid w:val="004A16BC"/>
    <w:rsid w:val="004A2B94"/>
    <w:rsid w:val="004A40D2"/>
    <w:rsid w:val="004B7C0C"/>
    <w:rsid w:val="004C3898"/>
    <w:rsid w:val="004D187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88B"/>
    <w:rsid w:val="005309D9"/>
    <w:rsid w:val="00534B59"/>
    <w:rsid w:val="00536759"/>
    <w:rsid w:val="00537C62"/>
    <w:rsid w:val="00541E58"/>
    <w:rsid w:val="005420F7"/>
    <w:rsid w:val="00546970"/>
    <w:rsid w:val="00547412"/>
    <w:rsid w:val="00554192"/>
    <w:rsid w:val="00554E19"/>
    <w:rsid w:val="0056121F"/>
    <w:rsid w:val="00572505"/>
    <w:rsid w:val="00575DA6"/>
    <w:rsid w:val="00582809"/>
    <w:rsid w:val="0058798C"/>
    <w:rsid w:val="005900FA"/>
    <w:rsid w:val="005935A4"/>
    <w:rsid w:val="005948C2"/>
    <w:rsid w:val="005954D5"/>
    <w:rsid w:val="00595DCA"/>
    <w:rsid w:val="0059779B"/>
    <w:rsid w:val="005A209A"/>
    <w:rsid w:val="005A662D"/>
    <w:rsid w:val="005B35D7"/>
    <w:rsid w:val="005B392A"/>
    <w:rsid w:val="005B3AA3"/>
    <w:rsid w:val="005B6F83"/>
    <w:rsid w:val="005C0713"/>
    <w:rsid w:val="005C74FB"/>
    <w:rsid w:val="005C7D3F"/>
    <w:rsid w:val="005D1602"/>
    <w:rsid w:val="005E385F"/>
    <w:rsid w:val="005E5959"/>
    <w:rsid w:val="005E5B81"/>
    <w:rsid w:val="005F2CB1"/>
    <w:rsid w:val="005F3025"/>
    <w:rsid w:val="005F618C"/>
    <w:rsid w:val="005F70BD"/>
    <w:rsid w:val="0060283C"/>
    <w:rsid w:val="00604F14"/>
    <w:rsid w:val="006106DB"/>
    <w:rsid w:val="00611B83"/>
    <w:rsid w:val="00613257"/>
    <w:rsid w:val="00620A71"/>
    <w:rsid w:val="00620D80"/>
    <w:rsid w:val="00621A7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4DB0"/>
    <w:rsid w:val="006D6F08"/>
    <w:rsid w:val="006D71A4"/>
    <w:rsid w:val="006E062C"/>
    <w:rsid w:val="006E1514"/>
    <w:rsid w:val="006E27FE"/>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524F"/>
    <w:rsid w:val="00747D8B"/>
    <w:rsid w:val="00751228"/>
    <w:rsid w:val="007565B2"/>
    <w:rsid w:val="007571E1"/>
    <w:rsid w:val="007604B2"/>
    <w:rsid w:val="0076109D"/>
    <w:rsid w:val="00765281"/>
    <w:rsid w:val="00766BAD"/>
    <w:rsid w:val="007755F2"/>
    <w:rsid w:val="00776971"/>
    <w:rsid w:val="00777D37"/>
    <w:rsid w:val="00780B9B"/>
    <w:rsid w:val="0078177E"/>
    <w:rsid w:val="0078304C"/>
    <w:rsid w:val="00783673"/>
    <w:rsid w:val="00785490"/>
    <w:rsid w:val="00790B99"/>
    <w:rsid w:val="007925EA"/>
    <w:rsid w:val="00793CD8"/>
    <w:rsid w:val="007955B0"/>
    <w:rsid w:val="00795C92"/>
    <w:rsid w:val="00796231"/>
    <w:rsid w:val="007A1CB3"/>
    <w:rsid w:val="007A306F"/>
    <w:rsid w:val="007A43A6"/>
    <w:rsid w:val="007A58A6"/>
    <w:rsid w:val="007B3D2D"/>
    <w:rsid w:val="007B50AE"/>
    <w:rsid w:val="007B51DF"/>
    <w:rsid w:val="007B7374"/>
    <w:rsid w:val="007C05DD"/>
    <w:rsid w:val="007C3D18"/>
    <w:rsid w:val="007C4E1C"/>
    <w:rsid w:val="007C60BF"/>
    <w:rsid w:val="007C6A07"/>
    <w:rsid w:val="007C6FC6"/>
    <w:rsid w:val="007C75A1"/>
    <w:rsid w:val="007C77A5"/>
    <w:rsid w:val="007D04E5"/>
    <w:rsid w:val="007D5901"/>
    <w:rsid w:val="007D7526"/>
    <w:rsid w:val="007E0B55"/>
    <w:rsid w:val="007E4610"/>
    <w:rsid w:val="007E4715"/>
    <w:rsid w:val="007E505B"/>
    <w:rsid w:val="007E7091"/>
    <w:rsid w:val="007F39CA"/>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CE6"/>
    <w:rsid w:val="00844E80"/>
    <w:rsid w:val="00846FE7"/>
    <w:rsid w:val="00847BFF"/>
    <w:rsid w:val="00856911"/>
    <w:rsid w:val="008677FD"/>
    <w:rsid w:val="008706D4"/>
    <w:rsid w:val="00870F8A"/>
    <w:rsid w:val="008719A4"/>
    <w:rsid w:val="00871D23"/>
    <w:rsid w:val="00874312"/>
    <w:rsid w:val="0087437C"/>
    <w:rsid w:val="0087468C"/>
    <w:rsid w:val="00874BE6"/>
    <w:rsid w:val="00875297"/>
    <w:rsid w:val="00875CD7"/>
    <w:rsid w:val="00876B4D"/>
    <w:rsid w:val="00877F18"/>
    <w:rsid w:val="00894A88"/>
    <w:rsid w:val="00895079"/>
    <w:rsid w:val="00895386"/>
    <w:rsid w:val="008A186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A1"/>
    <w:rsid w:val="008C4958"/>
    <w:rsid w:val="008C4BAA"/>
    <w:rsid w:val="008C6AE8"/>
    <w:rsid w:val="008C7573"/>
    <w:rsid w:val="008D34F1"/>
    <w:rsid w:val="008D39D8"/>
    <w:rsid w:val="008D6D1A"/>
    <w:rsid w:val="008E065E"/>
    <w:rsid w:val="008E0927"/>
    <w:rsid w:val="008E1909"/>
    <w:rsid w:val="008F1EAB"/>
    <w:rsid w:val="008F31A5"/>
    <w:rsid w:val="008F33DC"/>
    <w:rsid w:val="008F477F"/>
    <w:rsid w:val="00902119"/>
    <w:rsid w:val="00902350"/>
    <w:rsid w:val="0090336B"/>
    <w:rsid w:val="009053AA"/>
    <w:rsid w:val="00906939"/>
    <w:rsid w:val="00910B7D"/>
    <w:rsid w:val="00911DFB"/>
    <w:rsid w:val="009139D9"/>
    <w:rsid w:val="00914AD8"/>
    <w:rsid w:val="00916079"/>
    <w:rsid w:val="00917CE9"/>
    <w:rsid w:val="00920BF2"/>
    <w:rsid w:val="00922010"/>
    <w:rsid w:val="00924261"/>
    <w:rsid w:val="00931BD9"/>
    <w:rsid w:val="0093258E"/>
    <w:rsid w:val="00935739"/>
    <w:rsid w:val="0093604D"/>
    <w:rsid w:val="009368F3"/>
    <w:rsid w:val="00941636"/>
    <w:rsid w:val="00943742"/>
    <w:rsid w:val="00945C05"/>
    <w:rsid w:val="00946945"/>
    <w:rsid w:val="00947713"/>
    <w:rsid w:val="00950DE7"/>
    <w:rsid w:val="00952A24"/>
    <w:rsid w:val="00953353"/>
    <w:rsid w:val="00953920"/>
    <w:rsid w:val="00953D47"/>
    <w:rsid w:val="0095681E"/>
    <w:rsid w:val="009572D4"/>
    <w:rsid w:val="00960BA2"/>
    <w:rsid w:val="00961921"/>
    <w:rsid w:val="0096430A"/>
    <w:rsid w:val="0096554B"/>
    <w:rsid w:val="0096584A"/>
    <w:rsid w:val="00971BB3"/>
    <w:rsid w:val="00971F08"/>
    <w:rsid w:val="0097520E"/>
    <w:rsid w:val="0097603D"/>
    <w:rsid w:val="00976949"/>
    <w:rsid w:val="00980477"/>
    <w:rsid w:val="00985253"/>
    <w:rsid w:val="009853B3"/>
    <w:rsid w:val="00985BFD"/>
    <w:rsid w:val="00990630"/>
    <w:rsid w:val="00991761"/>
    <w:rsid w:val="0099193F"/>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418"/>
    <w:rsid w:val="009D4FF0"/>
    <w:rsid w:val="009D703C"/>
    <w:rsid w:val="009D718F"/>
    <w:rsid w:val="009E068F"/>
    <w:rsid w:val="009E14E0"/>
    <w:rsid w:val="009E35DB"/>
    <w:rsid w:val="009E47A3"/>
    <w:rsid w:val="009E7845"/>
    <w:rsid w:val="009F08F3"/>
    <w:rsid w:val="009F344F"/>
    <w:rsid w:val="00A031D8"/>
    <w:rsid w:val="00A032A4"/>
    <w:rsid w:val="00A048A8"/>
    <w:rsid w:val="00A04F49"/>
    <w:rsid w:val="00A13E54"/>
    <w:rsid w:val="00A14243"/>
    <w:rsid w:val="00A15745"/>
    <w:rsid w:val="00A17F63"/>
    <w:rsid w:val="00A2169B"/>
    <w:rsid w:val="00A2193B"/>
    <w:rsid w:val="00A2351A"/>
    <w:rsid w:val="00A264A9"/>
    <w:rsid w:val="00A27785"/>
    <w:rsid w:val="00A30187"/>
    <w:rsid w:val="00A3448A"/>
    <w:rsid w:val="00A36297"/>
    <w:rsid w:val="00A40362"/>
    <w:rsid w:val="00A40762"/>
    <w:rsid w:val="00A41E2B"/>
    <w:rsid w:val="00A45B74"/>
    <w:rsid w:val="00A52E1D"/>
    <w:rsid w:val="00A5436B"/>
    <w:rsid w:val="00A55F8F"/>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8B8"/>
    <w:rsid w:val="00AB4AB8"/>
    <w:rsid w:val="00AB655E"/>
    <w:rsid w:val="00AC007F"/>
    <w:rsid w:val="00AC2ECD"/>
    <w:rsid w:val="00AC3119"/>
    <w:rsid w:val="00AC3DA5"/>
    <w:rsid w:val="00AC49FB"/>
    <w:rsid w:val="00AC5A10"/>
    <w:rsid w:val="00AD0AA3"/>
    <w:rsid w:val="00AD3F94"/>
    <w:rsid w:val="00AD457E"/>
    <w:rsid w:val="00AD4A5A"/>
    <w:rsid w:val="00AD4AE7"/>
    <w:rsid w:val="00AE0F99"/>
    <w:rsid w:val="00AE27AC"/>
    <w:rsid w:val="00AE2FEB"/>
    <w:rsid w:val="00AE40E0"/>
    <w:rsid w:val="00AE4DBA"/>
    <w:rsid w:val="00AE4F07"/>
    <w:rsid w:val="00AF1C5D"/>
    <w:rsid w:val="00AF42D7"/>
    <w:rsid w:val="00B006FE"/>
    <w:rsid w:val="00B007CB"/>
    <w:rsid w:val="00B02AA9"/>
    <w:rsid w:val="00B02FA3"/>
    <w:rsid w:val="00B03374"/>
    <w:rsid w:val="00B042E6"/>
    <w:rsid w:val="00B05084"/>
    <w:rsid w:val="00B075DF"/>
    <w:rsid w:val="00B157F9"/>
    <w:rsid w:val="00B20256"/>
    <w:rsid w:val="00B20D09"/>
    <w:rsid w:val="00B2763F"/>
    <w:rsid w:val="00B27AAC"/>
    <w:rsid w:val="00B30929"/>
    <w:rsid w:val="00B372AA"/>
    <w:rsid w:val="00B40445"/>
    <w:rsid w:val="00B41888"/>
    <w:rsid w:val="00B45A52"/>
    <w:rsid w:val="00B46175"/>
    <w:rsid w:val="00B62B2A"/>
    <w:rsid w:val="00B6401E"/>
    <w:rsid w:val="00B664C7"/>
    <w:rsid w:val="00B739F6"/>
    <w:rsid w:val="00B75903"/>
    <w:rsid w:val="00B81A6C"/>
    <w:rsid w:val="00B85DE5"/>
    <w:rsid w:val="00B90F73"/>
    <w:rsid w:val="00B93B59"/>
    <w:rsid w:val="00B9406A"/>
    <w:rsid w:val="00B963F4"/>
    <w:rsid w:val="00BA2280"/>
    <w:rsid w:val="00BA2A08"/>
    <w:rsid w:val="00BA56D2"/>
    <w:rsid w:val="00BA76E0"/>
    <w:rsid w:val="00BB2A25"/>
    <w:rsid w:val="00BB3E70"/>
    <w:rsid w:val="00BB42D1"/>
    <w:rsid w:val="00BB51E9"/>
    <w:rsid w:val="00BC0FDC"/>
    <w:rsid w:val="00BC1664"/>
    <w:rsid w:val="00BC1F96"/>
    <w:rsid w:val="00BC3053"/>
    <w:rsid w:val="00BC4D2E"/>
    <w:rsid w:val="00BD48AC"/>
    <w:rsid w:val="00BD5F1A"/>
    <w:rsid w:val="00BD74C2"/>
    <w:rsid w:val="00BD7C86"/>
    <w:rsid w:val="00BE1234"/>
    <w:rsid w:val="00BE2FA6"/>
    <w:rsid w:val="00BE333F"/>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154DB"/>
    <w:rsid w:val="00C2638D"/>
    <w:rsid w:val="00C279B5"/>
    <w:rsid w:val="00C27C45"/>
    <w:rsid w:val="00C3719D"/>
    <w:rsid w:val="00C54995"/>
    <w:rsid w:val="00C54D41"/>
    <w:rsid w:val="00C60783"/>
    <w:rsid w:val="00C64672"/>
    <w:rsid w:val="00C64690"/>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2A2F"/>
    <w:rsid w:val="00CB7170"/>
    <w:rsid w:val="00CC040E"/>
    <w:rsid w:val="00CC111F"/>
    <w:rsid w:val="00CC2011"/>
    <w:rsid w:val="00CC3EA0"/>
    <w:rsid w:val="00CC7B45"/>
    <w:rsid w:val="00CD1188"/>
    <w:rsid w:val="00CD2ED1"/>
    <w:rsid w:val="00CD337B"/>
    <w:rsid w:val="00CE0424"/>
    <w:rsid w:val="00CE7561"/>
    <w:rsid w:val="00CF0481"/>
    <w:rsid w:val="00CF1354"/>
    <w:rsid w:val="00CF32DA"/>
    <w:rsid w:val="00CF3B1F"/>
    <w:rsid w:val="00CF3BF6"/>
    <w:rsid w:val="00CF625B"/>
    <w:rsid w:val="00CF687E"/>
    <w:rsid w:val="00D0349B"/>
    <w:rsid w:val="00D10249"/>
    <w:rsid w:val="00D115C3"/>
    <w:rsid w:val="00D11897"/>
    <w:rsid w:val="00D13135"/>
    <w:rsid w:val="00D13E4E"/>
    <w:rsid w:val="00D13EB3"/>
    <w:rsid w:val="00D239A7"/>
    <w:rsid w:val="00D23F47"/>
    <w:rsid w:val="00D24223"/>
    <w:rsid w:val="00D262C4"/>
    <w:rsid w:val="00D36E71"/>
    <w:rsid w:val="00D37D87"/>
    <w:rsid w:val="00D40B33"/>
    <w:rsid w:val="00D4318F"/>
    <w:rsid w:val="00D438BF"/>
    <w:rsid w:val="00D440F8"/>
    <w:rsid w:val="00D47CC9"/>
    <w:rsid w:val="00D546FF"/>
    <w:rsid w:val="00D55AD5"/>
    <w:rsid w:val="00D576CA"/>
    <w:rsid w:val="00D61AF5"/>
    <w:rsid w:val="00D63910"/>
    <w:rsid w:val="00D652B5"/>
    <w:rsid w:val="00D66155"/>
    <w:rsid w:val="00D708B0"/>
    <w:rsid w:val="00D70920"/>
    <w:rsid w:val="00D77B1D"/>
    <w:rsid w:val="00D8021F"/>
    <w:rsid w:val="00D80383"/>
    <w:rsid w:val="00D823C6"/>
    <w:rsid w:val="00D86CA3"/>
    <w:rsid w:val="00D871CE"/>
    <w:rsid w:val="00D9196D"/>
    <w:rsid w:val="00D92982"/>
    <w:rsid w:val="00D97F18"/>
    <w:rsid w:val="00DA305E"/>
    <w:rsid w:val="00DA5417"/>
    <w:rsid w:val="00DA56E8"/>
    <w:rsid w:val="00DB0A9F"/>
    <w:rsid w:val="00DB377D"/>
    <w:rsid w:val="00DC2D36"/>
    <w:rsid w:val="00DC53EF"/>
    <w:rsid w:val="00DD131E"/>
    <w:rsid w:val="00DE1F8C"/>
    <w:rsid w:val="00DE5608"/>
    <w:rsid w:val="00DE58D0"/>
    <w:rsid w:val="00DE654F"/>
    <w:rsid w:val="00DF0B6E"/>
    <w:rsid w:val="00DF15E0"/>
    <w:rsid w:val="00DF37A0"/>
    <w:rsid w:val="00E110E7"/>
    <w:rsid w:val="00E11B20"/>
    <w:rsid w:val="00E11B46"/>
    <w:rsid w:val="00E17FA2"/>
    <w:rsid w:val="00E2188B"/>
    <w:rsid w:val="00E22330"/>
    <w:rsid w:val="00E30B5A"/>
    <w:rsid w:val="00E3123D"/>
    <w:rsid w:val="00E31461"/>
    <w:rsid w:val="00E31D43"/>
    <w:rsid w:val="00E32608"/>
    <w:rsid w:val="00E34188"/>
    <w:rsid w:val="00E34B6E"/>
    <w:rsid w:val="00E35559"/>
    <w:rsid w:val="00E3707D"/>
    <w:rsid w:val="00E3723A"/>
    <w:rsid w:val="00E37860"/>
    <w:rsid w:val="00E41B1C"/>
    <w:rsid w:val="00E427CE"/>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91C"/>
    <w:rsid w:val="00E93FFE"/>
    <w:rsid w:val="00E94F8A"/>
    <w:rsid w:val="00E965D1"/>
    <w:rsid w:val="00EA24E2"/>
    <w:rsid w:val="00EA3EB3"/>
    <w:rsid w:val="00EA4B16"/>
    <w:rsid w:val="00EA70CD"/>
    <w:rsid w:val="00EA7A41"/>
    <w:rsid w:val="00EB077B"/>
    <w:rsid w:val="00EB4EA2"/>
    <w:rsid w:val="00EC27C6"/>
    <w:rsid w:val="00EC41A0"/>
    <w:rsid w:val="00EC4207"/>
    <w:rsid w:val="00EC5653"/>
    <w:rsid w:val="00EC71CE"/>
    <w:rsid w:val="00EC77A7"/>
    <w:rsid w:val="00ED1006"/>
    <w:rsid w:val="00EE59C8"/>
    <w:rsid w:val="00EF18FE"/>
    <w:rsid w:val="00EF5787"/>
    <w:rsid w:val="00EF60D0"/>
    <w:rsid w:val="00F0528D"/>
    <w:rsid w:val="00F05DDE"/>
    <w:rsid w:val="00F06C67"/>
    <w:rsid w:val="00F06DFD"/>
    <w:rsid w:val="00F071D1"/>
    <w:rsid w:val="00F07533"/>
    <w:rsid w:val="00F10629"/>
    <w:rsid w:val="00F13ECC"/>
    <w:rsid w:val="00F15FA5"/>
    <w:rsid w:val="00F209B7"/>
    <w:rsid w:val="00F2376F"/>
    <w:rsid w:val="00F243D8"/>
    <w:rsid w:val="00F301BB"/>
    <w:rsid w:val="00F30828"/>
    <w:rsid w:val="00F313D6"/>
    <w:rsid w:val="00F40F0C"/>
    <w:rsid w:val="00F4766C"/>
    <w:rsid w:val="00F5060E"/>
    <w:rsid w:val="00F507D1"/>
    <w:rsid w:val="00F5124F"/>
    <w:rsid w:val="00F519CE"/>
    <w:rsid w:val="00F51ADA"/>
    <w:rsid w:val="00F6020D"/>
    <w:rsid w:val="00F607C5"/>
    <w:rsid w:val="00F60DEA"/>
    <w:rsid w:val="00F6302A"/>
    <w:rsid w:val="00F64C2B"/>
    <w:rsid w:val="00F651BE"/>
    <w:rsid w:val="00F67F53"/>
    <w:rsid w:val="00F703BE"/>
    <w:rsid w:val="00F71F69"/>
    <w:rsid w:val="00F72B72"/>
    <w:rsid w:val="00F74BB9"/>
    <w:rsid w:val="00F74F85"/>
    <w:rsid w:val="00F75582"/>
    <w:rsid w:val="00F76EFA"/>
    <w:rsid w:val="00F804BE"/>
    <w:rsid w:val="00F817C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C7429"/>
    <w:rsid w:val="00FD07F6"/>
    <w:rsid w:val="00FD1EC8"/>
    <w:rsid w:val="00FD47ED"/>
    <w:rsid w:val="00FD74DB"/>
    <w:rsid w:val="00FD7660"/>
    <w:rsid w:val="00FE0655"/>
    <w:rsid w:val="00FE2365"/>
    <w:rsid w:val="00FE37D7"/>
    <w:rsid w:val="00FE4C7B"/>
    <w:rsid w:val="00FE715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E7A8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styleId="Revision">
    <w:name w:val="Revision"/>
    <w:hidden/>
    <w:uiPriority w:val="99"/>
    <w:semiHidden/>
    <w:rsid w:val="003029E7"/>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5NUHHDQN7SK2-1-114166</_dlc_DocId>
    <_dlc_DocIdUrl xmlns="08b2df90-05d3-4030-90d4-c9feeb4a1cd9">
      <Url>https://ericoll.internal.ericsson.com/sites/STAR/_layouts/DocIdRedir.aspx?ID=5NUHHDQN7SK2-1-114166</Url>
      <Description>5NUHHDQN7SK2-1-114166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BF0C7-784F-494E-B906-9B65C3D5F8A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E3C88CC-B291-43A7-8249-1A3199CC5850}">
  <ds:schemaRefs>
    <ds:schemaRef ds:uri="http://schemas.microsoft.com/sharepoint/v3/contenttype/forms"/>
  </ds:schemaRefs>
</ds:datastoreItem>
</file>

<file path=customXml/itemProps3.xml><?xml version="1.0" encoding="utf-8"?>
<ds:datastoreItem xmlns:ds="http://schemas.openxmlformats.org/officeDocument/2006/customXml" ds:itemID="{C98D76FE-747D-4580-B982-212359D1F6DE}">
  <ds:schemaRefs>
    <ds:schemaRef ds:uri="http://schemas.microsoft.com/sharepoint/events"/>
  </ds:schemaRefs>
</ds:datastoreItem>
</file>

<file path=customXml/itemProps4.xml><?xml version="1.0" encoding="utf-8"?>
<ds:datastoreItem xmlns:ds="http://schemas.openxmlformats.org/officeDocument/2006/customXml" ds:itemID="{D86E3292-9F09-4252-A24C-2461ADD92E30}">
  <ds:schemaRefs>
    <ds:schemaRef ds:uri="Microsoft.SharePoint.Taxonomy.ContentTypeSync"/>
  </ds:schemaRefs>
</ds:datastoreItem>
</file>

<file path=customXml/itemProps5.xml><?xml version="1.0" encoding="utf-8"?>
<ds:datastoreItem xmlns:ds="http://schemas.openxmlformats.org/officeDocument/2006/customXml" ds:itemID="{9FE89055-14C9-42A4-BB73-4C9D0F259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86C3AE-DA8A-4073-AB8F-EE6DB097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433</TotalTime>
  <Pages>4</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Mark Harrison 2</cp:lastModifiedBy>
  <cp:revision>23</cp:revision>
  <cp:lastPrinted>2008-01-31T15:09:00Z</cp:lastPrinted>
  <dcterms:created xsi:type="dcterms:W3CDTF">2017-05-04T14:34:00Z</dcterms:created>
  <dcterms:modified xsi:type="dcterms:W3CDTF">2017-05-05T16:42:00Z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1e469e1b-2a93-473a-b1cc-ecccb9407aa6</vt:lpwstr>
  </property>
</Properties>
</file>